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55C00" w14:textId="4BC11D3C" w:rsidR="00E77451" w:rsidRDefault="00E77451" w:rsidP="009241B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Scheda di presentazione</w:t>
      </w:r>
    </w:p>
    <w:p w14:paraId="0B70F4E8" w14:textId="3078D5B7" w:rsidR="009241B1" w:rsidRPr="009241B1" w:rsidRDefault="00E77451" w:rsidP="009241B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Titolo: Soluzioni sature</w:t>
      </w:r>
    </w:p>
    <w:p w14:paraId="42B42D40" w14:textId="0497567C" w:rsidR="001A43F6" w:rsidRDefault="00EC30E1" w:rsidP="0073392A">
      <w:pPr>
        <w:spacing w:after="0"/>
        <w:jc w:val="both"/>
        <w:rPr>
          <w:b/>
          <w:bCs/>
          <w:sz w:val="24"/>
          <w:szCs w:val="24"/>
        </w:rPr>
      </w:pPr>
      <w:r w:rsidRPr="00EC30E1">
        <w:rPr>
          <w:b/>
          <w:bCs/>
          <w:sz w:val="24"/>
          <w:szCs w:val="24"/>
        </w:rPr>
        <w:t>Struttura del video</w:t>
      </w:r>
      <w:r w:rsidR="00E77451">
        <w:rPr>
          <w:b/>
          <w:bCs/>
          <w:sz w:val="24"/>
          <w:szCs w:val="24"/>
        </w:rPr>
        <w:t xml:space="preserve"> e scelte di layout</w:t>
      </w:r>
      <w:r w:rsidRPr="00EC30E1">
        <w:rPr>
          <w:b/>
          <w:bCs/>
          <w:sz w:val="24"/>
          <w:szCs w:val="24"/>
        </w:rPr>
        <w:t>:</w:t>
      </w:r>
    </w:p>
    <w:p w14:paraId="3CDD84A6" w14:textId="7C968A7D" w:rsidR="00E77451" w:rsidRPr="00E77451" w:rsidRDefault="00E77451" w:rsidP="0073392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Il video si compone di quattro parti</w:t>
      </w:r>
    </w:p>
    <w:p w14:paraId="52B14D2C" w14:textId="1C76892B" w:rsidR="00EC30E1" w:rsidRPr="00E77451" w:rsidRDefault="00EC30E1" w:rsidP="00EC30E1">
      <w:pPr>
        <w:pStyle w:val="Paragrafoelenco"/>
        <w:numPr>
          <w:ilvl w:val="0"/>
          <w:numId w:val="1"/>
        </w:numPr>
        <w:ind w:left="426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Introduzione iniziale all’argomento delle </w:t>
      </w:r>
      <w:r w:rsidRPr="00E77451">
        <w:rPr>
          <w:i/>
          <w:iCs/>
          <w:sz w:val="24"/>
          <w:szCs w:val="24"/>
        </w:rPr>
        <w:t>soluzioni</w:t>
      </w:r>
    </w:p>
    <w:p w14:paraId="0A790706" w14:textId="53E4826B" w:rsidR="00EC30E1" w:rsidRDefault="00EC30E1" w:rsidP="00EC30E1">
      <w:pPr>
        <w:pStyle w:val="Paragrafoelenco"/>
        <w:numPr>
          <w:ilvl w:val="0"/>
          <w:numId w:val="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Spiegazione delle </w:t>
      </w:r>
      <w:r w:rsidRPr="00E77451">
        <w:rPr>
          <w:i/>
          <w:iCs/>
          <w:sz w:val="24"/>
          <w:szCs w:val="24"/>
        </w:rPr>
        <w:t>soluzioni sature</w:t>
      </w:r>
      <w:r w:rsidR="00E77451">
        <w:rPr>
          <w:i/>
          <w:iCs/>
          <w:sz w:val="24"/>
          <w:szCs w:val="24"/>
        </w:rPr>
        <w:t xml:space="preserve"> </w:t>
      </w:r>
      <w:r w:rsidR="00E77451">
        <w:rPr>
          <w:sz w:val="24"/>
          <w:szCs w:val="24"/>
        </w:rPr>
        <w:t xml:space="preserve">e delle loro </w:t>
      </w:r>
      <w:r w:rsidR="00E77451">
        <w:rPr>
          <w:i/>
          <w:iCs/>
          <w:sz w:val="24"/>
          <w:szCs w:val="24"/>
        </w:rPr>
        <w:t>proprietà</w:t>
      </w:r>
    </w:p>
    <w:p w14:paraId="407EC3DD" w14:textId="4293B4CF" w:rsidR="00EC30E1" w:rsidRDefault="00EC30E1" w:rsidP="00EC30E1">
      <w:pPr>
        <w:pStyle w:val="Paragrafoelenco"/>
        <w:numPr>
          <w:ilvl w:val="0"/>
          <w:numId w:val="1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Preparazione dell’esperimento per la formazione e l’osservazione di una </w:t>
      </w:r>
      <w:r w:rsidRPr="00E77451">
        <w:rPr>
          <w:i/>
          <w:iCs/>
          <w:sz w:val="24"/>
          <w:szCs w:val="24"/>
        </w:rPr>
        <w:t>soluzione satura</w:t>
      </w:r>
    </w:p>
    <w:p w14:paraId="1847F8C9" w14:textId="64875639" w:rsidR="00E77451" w:rsidRDefault="00EC30E1" w:rsidP="00E77451">
      <w:pPr>
        <w:pStyle w:val="Paragrafoelenco"/>
        <w:numPr>
          <w:ilvl w:val="0"/>
          <w:numId w:val="1"/>
        </w:num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Svolgimento dell’esperimento</w:t>
      </w:r>
    </w:p>
    <w:p w14:paraId="3703AA0A" w14:textId="298B721E" w:rsidR="00E77451" w:rsidRPr="00E77451" w:rsidRDefault="00E77451" w:rsidP="00E77451">
      <w:pPr>
        <w:ind w:left="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 è scelto di utilizzare sostanze </w:t>
      </w:r>
      <w:r w:rsidR="00B30598">
        <w:rPr>
          <w:sz w:val="24"/>
          <w:szCs w:val="24"/>
        </w:rPr>
        <w:t xml:space="preserve">sicure e facilmente reperibili poiché ciò rende l’esperimento ripetibile anche da casa. In questo modo ci si può cimentare nell’esperimento dopo averlo visto svolgere e osservare in prima persona una soluzione satura. </w:t>
      </w:r>
    </w:p>
    <w:p w14:paraId="6B6AE5B8" w14:textId="71ADDD66" w:rsidR="00B267BF" w:rsidRDefault="00B267BF" w:rsidP="0073392A">
      <w:pPr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Contenuti del video: </w:t>
      </w:r>
    </w:p>
    <w:p w14:paraId="361380BA" w14:textId="3F209417" w:rsidR="00B267BF" w:rsidRDefault="00B267BF" w:rsidP="005539D8">
      <w:pPr>
        <w:jc w:val="both"/>
        <w:rPr>
          <w:sz w:val="24"/>
          <w:szCs w:val="24"/>
        </w:rPr>
      </w:pPr>
      <w:r>
        <w:rPr>
          <w:sz w:val="24"/>
          <w:szCs w:val="24"/>
        </w:rPr>
        <w:t>Il video contiene un’introduzione generale e una spiegazione specifica dell’argomento</w:t>
      </w:r>
      <w:r w:rsidR="00E77451">
        <w:rPr>
          <w:sz w:val="24"/>
          <w:szCs w:val="24"/>
        </w:rPr>
        <w:t xml:space="preserve"> delle </w:t>
      </w:r>
      <w:r w:rsidR="00E77451" w:rsidRPr="00E77451">
        <w:rPr>
          <w:i/>
          <w:iCs/>
          <w:sz w:val="24"/>
          <w:szCs w:val="24"/>
        </w:rPr>
        <w:t>soluzioni</w:t>
      </w:r>
      <w:r w:rsidR="00E77451">
        <w:rPr>
          <w:sz w:val="24"/>
          <w:szCs w:val="24"/>
        </w:rPr>
        <w:t xml:space="preserve"> e delle </w:t>
      </w:r>
      <w:r w:rsidR="00E77451">
        <w:rPr>
          <w:i/>
          <w:iCs/>
          <w:sz w:val="24"/>
          <w:szCs w:val="24"/>
        </w:rPr>
        <w:t>soluzioni sature</w:t>
      </w:r>
      <w:r w:rsidR="00E77451">
        <w:rPr>
          <w:sz w:val="24"/>
          <w:szCs w:val="24"/>
        </w:rPr>
        <w:t>, con un’analisi generale delle loro proprietà</w:t>
      </w:r>
      <w:r>
        <w:rPr>
          <w:sz w:val="24"/>
          <w:szCs w:val="24"/>
        </w:rPr>
        <w:t xml:space="preserve">. </w:t>
      </w:r>
      <w:r w:rsidR="0018033D">
        <w:rPr>
          <w:sz w:val="24"/>
          <w:szCs w:val="24"/>
        </w:rPr>
        <w:t xml:space="preserve">Esse sono composti omogenei formate da due o più specie chimiche, le quali mantengono le loro proprietà. La sostanza in maggiore quantità è il </w:t>
      </w:r>
      <w:r w:rsidR="0018033D" w:rsidRPr="0018033D">
        <w:rPr>
          <w:i/>
          <w:iCs/>
          <w:sz w:val="24"/>
          <w:szCs w:val="24"/>
        </w:rPr>
        <w:t>solvente</w:t>
      </w:r>
      <w:r w:rsidR="0018033D">
        <w:rPr>
          <w:sz w:val="24"/>
          <w:szCs w:val="24"/>
        </w:rPr>
        <w:t xml:space="preserve">, e in esso si discioglie il </w:t>
      </w:r>
      <w:r w:rsidR="0018033D" w:rsidRPr="0018033D">
        <w:rPr>
          <w:i/>
          <w:iCs/>
          <w:sz w:val="24"/>
          <w:szCs w:val="24"/>
        </w:rPr>
        <w:t>soluto</w:t>
      </w:r>
      <w:r w:rsidR="0018033D">
        <w:rPr>
          <w:sz w:val="24"/>
          <w:szCs w:val="24"/>
        </w:rPr>
        <w:t xml:space="preserve">. Affinché si possa formare una soluzione le sostanze devono avere affinità chimica. Quando la concentrazione del </w:t>
      </w:r>
      <w:r w:rsidR="0018033D" w:rsidRPr="0018033D">
        <w:rPr>
          <w:i/>
          <w:iCs/>
          <w:sz w:val="24"/>
          <w:szCs w:val="24"/>
        </w:rPr>
        <w:t>soluto</w:t>
      </w:r>
      <w:r w:rsidR="0018033D">
        <w:rPr>
          <w:sz w:val="24"/>
          <w:szCs w:val="24"/>
        </w:rPr>
        <w:t xml:space="preserve"> diventa troppo elevata, esso non si scioglie più e si forma una </w:t>
      </w:r>
      <w:r w:rsidR="0018033D" w:rsidRPr="0018033D">
        <w:rPr>
          <w:i/>
          <w:iCs/>
          <w:sz w:val="24"/>
          <w:szCs w:val="24"/>
        </w:rPr>
        <w:t>soluzione satura</w:t>
      </w:r>
      <w:r w:rsidR="0018033D">
        <w:rPr>
          <w:sz w:val="24"/>
          <w:szCs w:val="24"/>
        </w:rPr>
        <w:t xml:space="preserve">. La </w:t>
      </w:r>
      <w:r w:rsidR="0018033D" w:rsidRPr="0018033D">
        <w:rPr>
          <w:i/>
          <w:iCs/>
          <w:sz w:val="24"/>
          <w:szCs w:val="24"/>
        </w:rPr>
        <w:t>solubilità</w:t>
      </w:r>
      <w:r w:rsidR="0018033D">
        <w:rPr>
          <w:sz w:val="24"/>
          <w:szCs w:val="24"/>
        </w:rPr>
        <w:t xml:space="preserve"> di una sostanza è rappresentata dalla massima concentrazione che può raggiungere in cento grammi di </w:t>
      </w:r>
      <w:r w:rsidR="0018033D" w:rsidRPr="0018033D">
        <w:rPr>
          <w:i/>
          <w:iCs/>
          <w:sz w:val="24"/>
          <w:szCs w:val="24"/>
        </w:rPr>
        <w:t>solvente</w:t>
      </w:r>
      <w:r w:rsidR="0018033D">
        <w:rPr>
          <w:sz w:val="24"/>
          <w:szCs w:val="24"/>
        </w:rPr>
        <w:t xml:space="preserve"> prima di saturare la </w:t>
      </w:r>
      <w:r w:rsidR="0018033D" w:rsidRPr="0018033D">
        <w:rPr>
          <w:i/>
          <w:iCs/>
          <w:sz w:val="24"/>
          <w:szCs w:val="24"/>
        </w:rPr>
        <w:t>soluzione</w:t>
      </w:r>
      <w:r w:rsidR="0018033D">
        <w:rPr>
          <w:sz w:val="24"/>
          <w:szCs w:val="24"/>
        </w:rPr>
        <w:t xml:space="preserve">. Tra il </w:t>
      </w:r>
      <w:r w:rsidR="0018033D" w:rsidRPr="0018033D">
        <w:rPr>
          <w:i/>
          <w:iCs/>
          <w:sz w:val="24"/>
          <w:szCs w:val="24"/>
        </w:rPr>
        <w:t>soluto</w:t>
      </w:r>
      <w:r w:rsidR="0018033D">
        <w:rPr>
          <w:sz w:val="24"/>
          <w:szCs w:val="24"/>
        </w:rPr>
        <w:t xml:space="preserve"> e il </w:t>
      </w:r>
      <w:r w:rsidR="0018033D" w:rsidRPr="0018033D">
        <w:rPr>
          <w:i/>
          <w:iCs/>
          <w:sz w:val="24"/>
          <w:szCs w:val="24"/>
        </w:rPr>
        <w:t>corpo di fondo</w:t>
      </w:r>
      <w:r w:rsidR="0018033D">
        <w:rPr>
          <w:sz w:val="24"/>
          <w:szCs w:val="24"/>
        </w:rPr>
        <w:t xml:space="preserve"> si sviluppa un </w:t>
      </w:r>
      <w:r w:rsidR="0018033D" w:rsidRPr="0018033D">
        <w:rPr>
          <w:i/>
          <w:iCs/>
          <w:sz w:val="24"/>
          <w:szCs w:val="24"/>
        </w:rPr>
        <w:t>equilibrio dinamico</w:t>
      </w:r>
      <w:r w:rsidR="0018033D">
        <w:rPr>
          <w:sz w:val="24"/>
          <w:szCs w:val="24"/>
        </w:rPr>
        <w:t xml:space="preserve">: le particelle si intercambiano nella </w:t>
      </w:r>
      <w:r w:rsidR="0018033D" w:rsidRPr="0018033D">
        <w:rPr>
          <w:i/>
          <w:iCs/>
          <w:sz w:val="24"/>
          <w:szCs w:val="24"/>
        </w:rPr>
        <w:t>soluzione</w:t>
      </w:r>
      <w:r w:rsidR="0018033D">
        <w:rPr>
          <w:sz w:val="24"/>
          <w:szCs w:val="24"/>
        </w:rPr>
        <w:t xml:space="preserve"> mantenendola sempre nello stesso stato. </w:t>
      </w:r>
      <w:r>
        <w:rPr>
          <w:sz w:val="24"/>
          <w:szCs w:val="24"/>
        </w:rPr>
        <w:t>In seguito, si ha lo svolgimento di un esperimento</w:t>
      </w:r>
      <w:r w:rsidR="00E77451">
        <w:rPr>
          <w:sz w:val="24"/>
          <w:szCs w:val="24"/>
        </w:rPr>
        <w:t>,</w:t>
      </w:r>
      <w:r>
        <w:rPr>
          <w:sz w:val="24"/>
          <w:szCs w:val="24"/>
        </w:rPr>
        <w:t xml:space="preserve"> per osservare in prima persona ciò che è stato spiegato. La preparazione e lo svolgimento dell’esperimento sono veloci, semplici e sicuri: l’unico accorgimento consiste nel verificare che le sostanze che si vogliono utilizzare siano sicure e non producano reazioni pericolose quando sono sciolte insieme in </w:t>
      </w:r>
      <w:r w:rsidRPr="00EA7E62">
        <w:rPr>
          <w:i/>
          <w:iCs/>
          <w:sz w:val="24"/>
          <w:szCs w:val="24"/>
        </w:rPr>
        <w:t>soluzione</w:t>
      </w:r>
      <w:r>
        <w:rPr>
          <w:sz w:val="24"/>
          <w:szCs w:val="24"/>
        </w:rPr>
        <w:t xml:space="preserve">. I materiali utilizzati nel video sono sicuri e reperibili facilmente, poiché di uso quasi quotidiano. </w:t>
      </w:r>
    </w:p>
    <w:p w14:paraId="0C352D35" w14:textId="5F891FE9" w:rsidR="00E77451" w:rsidRDefault="00E77451" w:rsidP="00E77451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Aspetto sperimentale:</w:t>
      </w:r>
    </w:p>
    <w:p w14:paraId="2A9A0B88" w14:textId="2C2898B9" w:rsidR="00E77451" w:rsidRDefault="00E77451" w:rsidP="00B6132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L’esperimento propone la formazione e la </w:t>
      </w:r>
      <w:r w:rsidRPr="00E77451">
        <w:rPr>
          <w:i/>
          <w:iCs/>
          <w:sz w:val="24"/>
          <w:szCs w:val="24"/>
        </w:rPr>
        <w:t>saturazione</w:t>
      </w:r>
      <w:r>
        <w:rPr>
          <w:sz w:val="24"/>
          <w:szCs w:val="24"/>
        </w:rPr>
        <w:t xml:space="preserve"> di una </w:t>
      </w:r>
      <w:r w:rsidRPr="00E77451">
        <w:rPr>
          <w:i/>
          <w:iCs/>
          <w:sz w:val="24"/>
          <w:szCs w:val="24"/>
        </w:rPr>
        <w:t>soluzione</w:t>
      </w:r>
      <w:r>
        <w:rPr>
          <w:sz w:val="24"/>
          <w:szCs w:val="24"/>
        </w:rPr>
        <w:t xml:space="preserve"> formata da acqua (</w:t>
      </w:r>
      <w:r w:rsidRPr="00E77451">
        <w:rPr>
          <w:i/>
          <w:iCs/>
          <w:sz w:val="24"/>
          <w:szCs w:val="24"/>
        </w:rPr>
        <w:t>solvente</w:t>
      </w:r>
      <w:r>
        <w:rPr>
          <w:sz w:val="24"/>
          <w:szCs w:val="24"/>
        </w:rPr>
        <w:t>) e bicarbonato di sodio (</w:t>
      </w:r>
      <w:r w:rsidRPr="00E77451">
        <w:rPr>
          <w:i/>
          <w:iCs/>
          <w:sz w:val="24"/>
          <w:szCs w:val="24"/>
        </w:rPr>
        <w:t>soluto</w:t>
      </w:r>
      <w:r>
        <w:rPr>
          <w:sz w:val="24"/>
          <w:szCs w:val="24"/>
        </w:rPr>
        <w:t>)</w:t>
      </w:r>
      <w:r w:rsidR="00B61320">
        <w:rPr>
          <w:sz w:val="24"/>
          <w:szCs w:val="24"/>
        </w:rPr>
        <w:t>. Esso si svolge in tre semplici momenti:</w:t>
      </w:r>
    </w:p>
    <w:p w14:paraId="2C77C966" w14:textId="7D9E0357" w:rsidR="00B61320" w:rsidRDefault="00B61320" w:rsidP="00B61320">
      <w:pPr>
        <w:pStyle w:val="Paragrafoelenco"/>
        <w:numPr>
          <w:ilvl w:val="0"/>
          <w:numId w:val="2"/>
        </w:numPr>
        <w:tabs>
          <w:tab w:val="left" w:pos="142"/>
        </w:tabs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Preparazione dei materiali: una bacinella di vetro, dell’acqua calda, del bicarbonato di sodio e due cucchiai</w:t>
      </w:r>
    </w:p>
    <w:p w14:paraId="31F329E0" w14:textId="753F4E39" w:rsidR="00B61320" w:rsidRDefault="00B61320" w:rsidP="00B61320">
      <w:pPr>
        <w:pStyle w:val="Paragrafoelenco"/>
        <w:numPr>
          <w:ilvl w:val="0"/>
          <w:numId w:val="2"/>
        </w:numPr>
        <w:tabs>
          <w:tab w:val="left" w:pos="142"/>
        </w:tabs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Preparazione della </w:t>
      </w:r>
      <w:r w:rsidRPr="00B61320">
        <w:rPr>
          <w:i/>
          <w:iCs/>
          <w:sz w:val="24"/>
          <w:szCs w:val="24"/>
        </w:rPr>
        <w:t>soluzione</w:t>
      </w:r>
      <w:r>
        <w:rPr>
          <w:sz w:val="24"/>
          <w:szCs w:val="24"/>
        </w:rPr>
        <w:t>, versando il bicarbonato nell’acqua e miscelando</w:t>
      </w:r>
    </w:p>
    <w:p w14:paraId="18A8D12D" w14:textId="1FB65962" w:rsidR="00B61320" w:rsidRDefault="00B61320" w:rsidP="00B61320">
      <w:pPr>
        <w:pStyle w:val="Paragrafoelenco"/>
        <w:numPr>
          <w:ilvl w:val="0"/>
          <w:numId w:val="2"/>
        </w:numPr>
        <w:tabs>
          <w:tab w:val="left" w:pos="142"/>
        </w:tabs>
        <w:ind w:left="426"/>
        <w:jc w:val="both"/>
        <w:rPr>
          <w:sz w:val="24"/>
          <w:szCs w:val="24"/>
        </w:rPr>
      </w:pPr>
      <w:r w:rsidRPr="00B61320">
        <w:rPr>
          <w:i/>
          <w:iCs/>
          <w:sz w:val="24"/>
          <w:szCs w:val="24"/>
        </w:rPr>
        <w:t>Saturazione</w:t>
      </w:r>
      <w:r>
        <w:rPr>
          <w:sz w:val="24"/>
          <w:szCs w:val="24"/>
        </w:rPr>
        <w:t xml:space="preserve"> della </w:t>
      </w:r>
      <w:r w:rsidRPr="00B61320">
        <w:rPr>
          <w:i/>
          <w:iCs/>
          <w:sz w:val="24"/>
          <w:szCs w:val="24"/>
        </w:rPr>
        <w:t>soluzione</w:t>
      </w:r>
      <w:r>
        <w:rPr>
          <w:sz w:val="24"/>
          <w:szCs w:val="24"/>
        </w:rPr>
        <w:t xml:space="preserve"> con la progressiva aggiunta del bicarbonato di sodio</w:t>
      </w:r>
    </w:p>
    <w:p w14:paraId="318FC5B7" w14:textId="1F6842F4" w:rsidR="00671847" w:rsidRPr="00B61320" w:rsidRDefault="00671847" w:rsidP="00B61320">
      <w:pPr>
        <w:pStyle w:val="Paragrafoelenco"/>
        <w:numPr>
          <w:ilvl w:val="0"/>
          <w:numId w:val="2"/>
        </w:numPr>
        <w:tabs>
          <w:tab w:val="left" w:pos="142"/>
        </w:tabs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Osservazione del </w:t>
      </w:r>
      <w:r>
        <w:rPr>
          <w:i/>
          <w:iCs/>
          <w:sz w:val="24"/>
          <w:szCs w:val="24"/>
        </w:rPr>
        <w:t>corpo di fondo</w:t>
      </w:r>
    </w:p>
    <w:p w14:paraId="01B1C259" w14:textId="26AB9543" w:rsidR="00440AE6" w:rsidRDefault="00440AE6" w:rsidP="00E77451">
      <w:pPr>
        <w:spacing w:after="0"/>
        <w:jc w:val="both"/>
        <w:rPr>
          <w:b/>
          <w:bCs/>
          <w:sz w:val="24"/>
          <w:szCs w:val="24"/>
        </w:rPr>
      </w:pPr>
      <w:r w:rsidRPr="00EC30E1">
        <w:rPr>
          <w:b/>
          <w:bCs/>
          <w:sz w:val="24"/>
          <w:szCs w:val="24"/>
        </w:rPr>
        <w:t xml:space="preserve">Sitografia: </w:t>
      </w:r>
    </w:p>
    <w:p w14:paraId="1F8A05A1" w14:textId="5DAB42B1" w:rsidR="00E77451" w:rsidRPr="00E77451" w:rsidRDefault="00E77451" w:rsidP="00E77451">
      <w:pPr>
        <w:spacing w:after="0"/>
        <w:jc w:val="both"/>
        <w:rPr>
          <w:sz w:val="24"/>
          <w:szCs w:val="24"/>
        </w:rPr>
      </w:pPr>
      <w:r w:rsidRPr="00E77451">
        <w:rPr>
          <w:sz w:val="24"/>
          <w:szCs w:val="24"/>
        </w:rPr>
        <w:t xml:space="preserve">Individuata tramite nome </w:t>
      </w:r>
      <w:r>
        <w:rPr>
          <w:sz w:val="24"/>
          <w:szCs w:val="24"/>
        </w:rPr>
        <w:t>del sito e link dello stesso</w:t>
      </w:r>
    </w:p>
    <w:p w14:paraId="0A9D08B8" w14:textId="777B4D17" w:rsidR="00440AE6" w:rsidRDefault="00440AE6" w:rsidP="00551D30">
      <w:pPr>
        <w:rPr>
          <w:sz w:val="24"/>
          <w:szCs w:val="24"/>
        </w:rPr>
      </w:pPr>
      <w:r>
        <w:rPr>
          <w:sz w:val="24"/>
          <w:szCs w:val="24"/>
        </w:rPr>
        <w:t xml:space="preserve">Treccani: </w:t>
      </w:r>
      <w:hyperlink r:id="rId7" w:history="1">
        <w:r w:rsidRPr="008C755E">
          <w:rPr>
            <w:rStyle w:val="Collegamentoipertestuale"/>
            <w:sz w:val="24"/>
            <w:szCs w:val="24"/>
          </w:rPr>
          <w:t>https://www.treccani.it/vocabolario/soluzione/</w:t>
        </w:r>
      </w:hyperlink>
    </w:p>
    <w:p w14:paraId="391D27CF" w14:textId="6ECA681F" w:rsidR="00440AE6" w:rsidRDefault="00440AE6" w:rsidP="00551D30">
      <w:pPr>
        <w:rPr>
          <w:sz w:val="24"/>
          <w:szCs w:val="24"/>
        </w:rPr>
      </w:pPr>
      <w:r>
        <w:rPr>
          <w:sz w:val="24"/>
          <w:szCs w:val="24"/>
        </w:rPr>
        <w:t xml:space="preserve">Università di Napoli: </w:t>
      </w:r>
      <w:hyperlink r:id="rId8" w:anchor=":~:text=Equilibrio%20dinamico%20in%20una%20soluzione%20satura&amp;text=Il%20solido%20che%20non%20si,satura%2C%20rappresenta%20la%20sua%20solubilit%C3%A0." w:history="1">
        <w:r w:rsidRPr="00440AE6">
          <w:rPr>
            <w:rStyle w:val="Collegamentoipertestuale"/>
            <w:sz w:val="24"/>
            <w:szCs w:val="24"/>
          </w:rPr>
          <w:t>https://www.docenti.unina.it/webdocenti-be/allegati/materiale-didattico/660502#:~:text=Equilibrio%20dinamico%20in%20una%20soluzione%20satura&amp;text=Il%20solido%20che%20non%20si,satura%2C%20rappresenta%20la%20sua%20solubilit%C3%A0.</w:t>
        </w:r>
      </w:hyperlink>
    </w:p>
    <w:p w14:paraId="7BFD0938" w14:textId="0CAF5A6B" w:rsidR="00440AE6" w:rsidRDefault="00551D30" w:rsidP="00551D30">
      <w:pPr>
        <w:rPr>
          <w:sz w:val="24"/>
          <w:szCs w:val="24"/>
        </w:rPr>
      </w:pPr>
      <w:r w:rsidRPr="00551D30">
        <w:rPr>
          <w:sz w:val="24"/>
          <w:szCs w:val="24"/>
        </w:rPr>
        <w:t>Gruppo Mineralogico Paleontologico Euganeo</w:t>
      </w:r>
      <w:r>
        <w:rPr>
          <w:sz w:val="24"/>
          <w:szCs w:val="24"/>
        </w:rPr>
        <w:t xml:space="preserve">: </w:t>
      </w:r>
      <w:hyperlink r:id="rId9" w:history="1">
        <w:r w:rsidR="00440AE6" w:rsidRPr="008C755E">
          <w:rPr>
            <w:rStyle w:val="Collegamentoipertestuale"/>
            <w:sz w:val="24"/>
            <w:szCs w:val="24"/>
          </w:rPr>
          <w:t>https://www.gmpe.it/chimica/soluzioni</w:t>
        </w:r>
      </w:hyperlink>
    </w:p>
    <w:p w14:paraId="4E522CC8" w14:textId="0E05D3EC" w:rsidR="00440AE6" w:rsidRDefault="00551D30" w:rsidP="00551D30">
      <w:pPr>
        <w:rPr>
          <w:rStyle w:val="Collegamentoipertestuale"/>
          <w:sz w:val="24"/>
          <w:szCs w:val="24"/>
        </w:rPr>
      </w:pPr>
      <w:r>
        <w:rPr>
          <w:sz w:val="24"/>
          <w:szCs w:val="24"/>
        </w:rPr>
        <w:lastRenderedPageBreak/>
        <w:t xml:space="preserve">Università di Ferrara: </w:t>
      </w:r>
      <w:hyperlink r:id="rId10" w:history="1">
        <w:r w:rsidRPr="008C755E">
          <w:rPr>
            <w:rStyle w:val="Collegamentoipertestuale"/>
            <w:sz w:val="24"/>
            <w:szCs w:val="24"/>
          </w:rPr>
          <w:t>http://www.unife.it/medicina/biotecnologie-mediche/insegnamenti/Chimica-Generale-ed-Inorganica/materiale-didattico/lezione-14-cap-13-soluzioni-prop-colligative-molinari</w:t>
        </w:r>
      </w:hyperlink>
    </w:p>
    <w:p w14:paraId="3C2469DE" w14:textId="77777777" w:rsidR="0073392A" w:rsidRPr="0073392A" w:rsidRDefault="0073392A" w:rsidP="00551D30">
      <w:pPr>
        <w:rPr>
          <w:b/>
          <w:bCs/>
          <w:sz w:val="24"/>
          <w:szCs w:val="24"/>
        </w:rPr>
      </w:pPr>
    </w:p>
    <w:p w14:paraId="58CD2817" w14:textId="77777777" w:rsidR="00440AE6" w:rsidRPr="009241B1" w:rsidRDefault="00440AE6" w:rsidP="005539D8">
      <w:pPr>
        <w:jc w:val="both"/>
        <w:rPr>
          <w:sz w:val="24"/>
          <w:szCs w:val="24"/>
        </w:rPr>
      </w:pPr>
    </w:p>
    <w:sectPr w:rsidR="00440AE6" w:rsidRPr="009241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96FC41" w14:textId="77777777" w:rsidR="000A2462" w:rsidRDefault="000A2462" w:rsidP="00E77451">
      <w:pPr>
        <w:spacing w:after="0" w:line="240" w:lineRule="auto"/>
      </w:pPr>
      <w:r>
        <w:separator/>
      </w:r>
    </w:p>
  </w:endnote>
  <w:endnote w:type="continuationSeparator" w:id="0">
    <w:p w14:paraId="4A670396" w14:textId="77777777" w:rsidR="000A2462" w:rsidRDefault="000A2462" w:rsidP="00E77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D680E7" w14:textId="77777777" w:rsidR="000A2462" w:rsidRDefault="000A2462" w:rsidP="00E77451">
      <w:pPr>
        <w:spacing w:after="0" w:line="240" w:lineRule="auto"/>
      </w:pPr>
      <w:r>
        <w:separator/>
      </w:r>
    </w:p>
  </w:footnote>
  <w:footnote w:type="continuationSeparator" w:id="0">
    <w:p w14:paraId="2CFD21AE" w14:textId="77777777" w:rsidR="000A2462" w:rsidRDefault="000A2462" w:rsidP="00E774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A75DBC"/>
    <w:multiLevelType w:val="hybridMultilevel"/>
    <w:tmpl w:val="966659A8"/>
    <w:lvl w:ilvl="0" w:tplc="DDD2429C">
      <w:start w:val="1"/>
      <w:numFmt w:val="decimal"/>
      <w:lvlText w:val="%1."/>
      <w:lvlJc w:val="left"/>
      <w:pPr>
        <w:ind w:left="360" w:hanging="360"/>
      </w:pPr>
      <w:rPr>
        <w:i w:val="0"/>
        <w:iCs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3852C7"/>
    <w:multiLevelType w:val="hybridMultilevel"/>
    <w:tmpl w:val="C160F3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84E"/>
    <w:rsid w:val="00022668"/>
    <w:rsid w:val="000A2462"/>
    <w:rsid w:val="000F5EE1"/>
    <w:rsid w:val="0018033D"/>
    <w:rsid w:val="001A43F6"/>
    <w:rsid w:val="003F17A6"/>
    <w:rsid w:val="00440AE6"/>
    <w:rsid w:val="00551D30"/>
    <w:rsid w:val="005539D8"/>
    <w:rsid w:val="006018A3"/>
    <w:rsid w:val="00671847"/>
    <w:rsid w:val="00673D9F"/>
    <w:rsid w:val="006A6DDB"/>
    <w:rsid w:val="006C6E2D"/>
    <w:rsid w:val="0073392A"/>
    <w:rsid w:val="007872EB"/>
    <w:rsid w:val="007924B7"/>
    <w:rsid w:val="007C451C"/>
    <w:rsid w:val="007C4610"/>
    <w:rsid w:val="00874D0C"/>
    <w:rsid w:val="008C411F"/>
    <w:rsid w:val="009241B1"/>
    <w:rsid w:val="00B267BF"/>
    <w:rsid w:val="00B30598"/>
    <w:rsid w:val="00B61320"/>
    <w:rsid w:val="00C2435B"/>
    <w:rsid w:val="00C76316"/>
    <w:rsid w:val="00C9223D"/>
    <w:rsid w:val="00CE311E"/>
    <w:rsid w:val="00D2584E"/>
    <w:rsid w:val="00D37FE0"/>
    <w:rsid w:val="00E77451"/>
    <w:rsid w:val="00EA7E62"/>
    <w:rsid w:val="00EC30E1"/>
    <w:rsid w:val="00EE5F83"/>
    <w:rsid w:val="00F4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88727"/>
  <w15:chartTrackingRefBased/>
  <w15:docId w15:val="{E858EB97-F0C7-447D-AC66-CAEBF884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40AE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0AE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40AE6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EC30E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774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77451"/>
  </w:style>
  <w:style w:type="paragraph" w:styleId="Pidipagina">
    <w:name w:val="footer"/>
    <w:basedOn w:val="Normale"/>
    <w:link w:val="PidipaginaCarattere"/>
    <w:uiPriority w:val="99"/>
    <w:unhideWhenUsed/>
    <w:rsid w:val="00E774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774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centi.unina.it/webdocenti-be/allegati/materiale-didattico/66050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reccani.it/vocabolario/soluzion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unife.it/medicina/biotecnologie-mediche/insegnamenti/Chimica-Generale-ed-Inorganica/materiale-didattico/lezione-14-cap-13-soluzioni-prop-colligative-molinar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mpe.it/chimica/soluzion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Fabiana Premoli</cp:lastModifiedBy>
  <cp:revision>19</cp:revision>
  <dcterms:created xsi:type="dcterms:W3CDTF">2021-02-13T14:18:00Z</dcterms:created>
  <dcterms:modified xsi:type="dcterms:W3CDTF">2021-02-20T17:21:00Z</dcterms:modified>
</cp:coreProperties>
</file>