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BC7" w:rsidRDefault="000B3B96" w:rsidP="000B3B96">
      <w:pPr>
        <w:jc w:val="center"/>
        <w:rPr>
          <w:b/>
          <w:sz w:val="28"/>
          <w:lang w:val="it-IT"/>
        </w:rPr>
      </w:pPr>
      <w:r>
        <w:rPr>
          <w:b/>
          <w:sz w:val="28"/>
          <w:lang w:val="it-IT"/>
        </w:rPr>
        <w:t>Scheda di Presentazione</w:t>
      </w:r>
    </w:p>
    <w:p w:rsidR="000B3B96" w:rsidRDefault="000B3B96" w:rsidP="000B3B96">
      <w:pPr>
        <w:jc w:val="center"/>
        <w:rPr>
          <w:b/>
          <w:sz w:val="28"/>
          <w:lang w:val="it-IT"/>
        </w:rPr>
      </w:pPr>
      <w:r>
        <w:rPr>
          <w:b/>
          <w:sz w:val="28"/>
          <w:lang w:val="it-IT"/>
        </w:rPr>
        <w:t>Ottica: La rifrazione della luce e la dipendenza dai mezzi materiali</w:t>
      </w:r>
    </w:p>
    <w:p w:rsidR="000B3B96" w:rsidRDefault="000B3B96" w:rsidP="000B3B96">
      <w:pPr>
        <w:jc w:val="center"/>
        <w:rPr>
          <w:b/>
          <w:sz w:val="28"/>
          <w:lang w:val="it-IT"/>
        </w:rPr>
      </w:pPr>
    </w:p>
    <w:p w:rsidR="000B3B96" w:rsidRDefault="000B3B96" w:rsidP="000B3B96">
      <w:pPr>
        <w:jc w:val="both"/>
        <w:rPr>
          <w:b/>
          <w:sz w:val="24"/>
          <w:u w:val="single"/>
          <w:lang w:val="it-IT"/>
        </w:rPr>
      </w:pPr>
      <w:r w:rsidRPr="000B3B96">
        <w:rPr>
          <w:b/>
          <w:sz w:val="24"/>
          <w:u w:val="single"/>
          <w:lang w:val="it-IT"/>
        </w:rPr>
        <w:t>Struttura del video e scelte di layout</w:t>
      </w:r>
    </w:p>
    <w:p w:rsidR="00C813F3" w:rsidRDefault="00C813F3" w:rsidP="000B3B96">
      <w:pPr>
        <w:jc w:val="both"/>
        <w:rPr>
          <w:b/>
          <w:sz w:val="24"/>
          <w:u w:val="single"/>
          <w:lang w:val="it-IT"/>
        </w:rPr>
      </w:pPr>
    </w:p>
    <w:p w:rsidR="000B3B96" w:rsidRDefault="000B3B96" w:rsidP="000B3B96">
      <w:pPr>
        <w:jc w:val="both"/>
        <w:rPr>
          <w:sz w:val="24"/>
          <w:lang w:val="it-IT"/>
        </w:rPr>
      </w:pPr>
      <w:r>
        <w:rPr>
          <w:sz w:val="24"/>
          <w:lang w:val="it-IT"/>
        </w:rPr>
        <w:t xml:space="preserve">Il video si compone di </w:t>
      </w:r>
      <w:r w:rsidR="00754120">
        <w:rPr>
          <w:sz w:val="24"/>
          <w:lang w:val="it-IT"/>
        </w:rPr>
        <w:t>quattro</w:t>
      </w:r>
      <w:r>
        <w:rPr>
          <w:sz w:val="24"/>
          <w:lang w:val="it-IT"/>
        </w:rPr>
        <w:t xml:space="preserve"> parti:</w:t>
      </w:r>
    </w:p>
    <w:p w:rsidR="00C813F3" w:rsidRPr="00C813F3" w:rsidRDefault="000B3B96" w:rsidP="00C813F3">
      <w:pPr>
        <w:pStyle w:val="Paragrafoelenco"/>
        <w:numPr>
          <w:ilvl w:val="0"/>
          <w:numId w:val="1"/>
        </w:numPr>
        <w:jc w:val="both"/>
        <w:rPr>
          <w:sz w:val="24"/>
          <w:lang w:val="it-IT"/>
        </w:rPr>
      </w:pPr>
      <w:r>
        <w:rPr>
          <w:sz w:val="24"/>
          <w:lang w:val="it-IT"/>
        </w:rPr>
        <w:t xml:space="preserve">Definizione </w:t>
      </w:r>
      <w:r w:rsidR="00754120">
        <w:rPr>
          <w:sz w:val="24"/>
          <w:lang w:val="it-IT"/>
        </w:rPr>
        <w:t>di rifrazione della luce ed elenco del materiale necessario alla realizzazione degli esperimenti. Il materiale proposto è stato scelto per rendere possibile l’esecuzione degli esperimenti facilmente a casa ed in breve tempo.</w:t>
      </w:r>
    </w:p>
    <w:p w:rsidR="00754120" w:rsidRDefault="00754120" w:rsidP="000B3B96">
      <w:pPr>
        <w:pStyle w:val="Paragrafoelenco"/>
        <w:numPr>
          <w:ilvl w:val="0"/>
          <w:numId w:val="1"/>
        </w:numPr>
        <w:jc w:val="both"/>
        <w:rPr>
          <w:sz w:val="24"/>
          <w:lang w:val="it-IT"/>
        </w:rPr>
      </w:pPr>
      <w:r>
        <w:rPr>
          <w:sz w:val="24"/>
          <w:lang w:val="it-IT"/>
        </w:rPr>
        <w:t>Esecuzione del primo esperimento per l’osservazione degli effetti di rifrazione che avviene tra aria e acqua.</w:t>
      </w:r>
    </w:p>
    <w:p w:rsidR="00754120" w:rsidRDefault="00754120" w:rsidP="000B3B96">
      <w:pPr>
        <w:pStyle w:val="Paragrafoelenco"/>
        <w:numPr>
          <w:ilvl w:val="0"/>
          <w:numId w:val="1"/>
        </w:numPr>
        <w:jc w:val="both"/>
        <w:rPr>
          <w:sz w:val="24"/>
          <w:lang w:val="it-IT"/>
        </w:rPr>
      </w:pPr>
      <w:r>
        <w:rPr>
          <w:sz w:val="24"/>
          <w:lang w:val="it-IT"/>
        </w:rPr>
        <w:t xml:space="preserve">Esecuzione del secondo esperimento per dimostrare quanto osservato in precedenza mediante l’utilizzo di uno spago, che simula la direzione del raggio luminoso e permette di vederne chiaramente la maggiore inclinazione rispetto alla normale alla superficie in presenza di liquidi nella bacinella. </w:t>
      </w:r>
    </w:p>
    <w:p w:rsidR="00754120" w:rsidRDefault="00CE0FDE" w:rsidP="000B3B96">
      <w:pPr>
        <w:pStyle w:val="Paragrafoelenco"/>
        <w:numPr>
          <w:ilvl w:val="0"/>
          <w:numId w:val="1"/>
        </w:numPr>
        <w:jc w:val="both"/>
        <w:rPr>
          <w:sz w:val="24"/>
          <w:lang w:val="it-IT"/>
        </w:rPr>
      </w:pPr>
      <w:r>
        <w:rPr>
          <w:sz w:val="24"/>
          <w:lang w:val="it-IT"/>
        </w:rPr>
        <w:t>Presentazione teorica dei fenomeni osservati attraverso gli esperimenti, con immagini e frame presi dagli esperimenti stessi</w:t>
      </w:r>
    </w:p>
    <w:p w:rsidR="00CE0FDE" w:rsidRDefault="00CE0FDE" w:rsidP="00CE0FDE">
      <w:pPr>
        <w:jc w:val="both"/>
        <w:rPr>
          <w:sz w:val="24"/>
          <w:lang w:val="it-IT"/>
        </w:rPr>
      </w:pPr>
    </w:p>
    <w:p w:rsidR="00CE0FDE" w:rsidRDefault="00CE0FDE" w:rsidP="00CE0FDE">
      <w:pPr>
        <w:jc w:val="both"/>
        <w:rPr>
          <w:b/>
          <w:sz w:val="24"/>
          <w:u w:val="single"/>
          <w:lang w:val="it-IT"/>
        </w:rPr>
      </w:pPr>
      <w:r w:rsidRPr="00CE0FDE">
        <w:rPr>
          <w:b/>
          <w:sz w:val="24"/>
          <w:u w:val="single"/>
          <w:lang w:val="it-IT"/>
        </w:rPr>
        <w:t>Contenuti teorici esposti</w:t>
      </w:r>
    </w:p>
    <w:p w:rsidR="00C813F3" w:rsidRDefault="00C813F3" w:rsidP="00CE0FDE">
      <w:pPr>
        <w:jc w:val="both"/>
        <w:rPr>
          <w:b/>
          <w:sz w:val="24"/>
          <w:u w:val="single"/>
          <w:lang w:val="it-IT"/>
        </w:rPr>
      </w:pPr>
    </w:p>
    <w:p w:rsidR="00C813F3" w:rsidRDefault="00CE0FDE" w:rsidP="00C813F3">
      <w:pPr>
        <w:pStyle w:val="Paragrafoelenco"/>
        <w:numPr>
          <w:ilvl w:val="0"/>
          <w:numId w:val="2"/>
        </w:numPr>
        <w:jc w:val="both"/>
        <w:rPr>
          <w:sz w:val="24"/>
          <w:lang w:val="it-IT"/>
        </w:rPr>
      </w:pPr>
      <w:r>
        <w:rPr>
          <w:sz w:val="24"/>
          <w:lang w:val="it-IT"/>
        </w:rPr>
        <w:t xml:space="preserve">La rifrazione della luce è quel fenomeno per cui i raggi luminosi emessi da una sorgente vedono deviata la loro direzione di propagazione nel momento in cui incontrano un nuovo mezzo materiale, che ha </w:t>
      </w:r>
      <w:r w:rsidR="004A082D">
        <w:rPr>
          <w:sz w:val="24"/>
          <w:lang w:val="it-IT"/>
        </w:rPr>
        <w:t>indice di rifrazione differente da quello</w:t>
      </w:r>
      <w:r>
        <w:rPr>
          <w:sz w:val="24"/>
          <w:lang w:val="it-IT"/>
        </w:rPr>
        <w:t xml:space="preserve"> del precedente.</w:t>
      </w:r>
    </w:p>
    <w:p w:rsidR="002D4792" w:rsidRPr="002D4792" w:rsidRDefault="002D4792" w:rsidP="002D4792">
      <w:pPr>
        <w:pStyle w:val="Paragrafoelenco"/>
        <w:jc w:val="both"/>
        <w:rPr>
          <w:sz w:val="24"/>
          <w:lang w:val="it-IT"/>
        </w:rPr>
      </w:pPr>
    </w:p>
    <w:p w:rsidR="00D11D1E" w:rsidRDefault="00D11D1E" w:rsidP="00CE0FDE">
      <w:pPr>
        <w:pStyle w:val="Paragrafoelenco"/>
        <w:numPr>
          <w:ilvl w:val="0"/>
          <w:numId w:val="2"/>
        </w:numPr>
        <w:jc w:val="both"/>
        <w:rPr>
          <w:sz w:val="24"/>
          <w:lang w:val="it-IT"/>
        </w:rPr>
      </w:pPr>
      <w:r>
        <w:rPr>
          <w:sz w:val="24"/>
          <w:lang w:val="it-IT"/>
        </w:rPr>
        <w:t xml:space="preserve">I primi studi sul fenomeno di rifrazione vengono effettuati dal fisico olandese </w:t>
      </w:r>
      <w:proofErr w:type="spellStart"/>
      <w:r>
        <w:rPr>
          <w:sz w:val="24"/>
          <w:lang w:val="it-IT"/>
        </w:rPr>
        <w:t>Snell</w:t>
      </w:r>
      <w:proofErr w:type="spellEnd"/>
      <w:r>
        <w:rPr>
          <w:sz w:val="24"/>
          <w:lang w:val="it-IT"/>
        </w:rPr>
        <w:t xml:space="preserve">, il quale ricava sperimentalmente l’omonima “Legge di </w:t>
      </w:r>
      <w:proofErr w:type="spellStart"/>
      <w:r>
        <w:rPr>
          <w:sz w:val="24"/>
          <w:lang w:val="it-IT"/>
        </w:rPr>
        <w:t>Snell</w:t>
      </w:r>
      <w:proofErr w:type="spellEnd"/>
      <w:r>
        <w:rPr>
          <w:sz w:val="24"/>
          <w:lang w:val="it-IT"/>
        </w:rPr>
        <w:t xml:space="preserve">”, la quale fornisce una relazione fra angolo rifratto e angolo incidente: il rapporto fra il seno dell’angolo rifratto e il seno dell’angolo incidente è uguale al rapporto fra l’indice di rifrazione del primo mezzo materiale e l’indice di rifrazione del secondo mezzo materiale. </w:t>
      </w:r>
    </w:p>
    <w:p w:rsidR="00C813F3" w:rsidRDefault="00D11D1E" w:rsidP="002D4792">
      <w:pPr>
        <w:pStyle w:val="Paragrafoelenco"/>
        <w:jc w:val="both"/>
        <w:rPr>
          <w:b/>
          <w:i/>
          <w:sz w:val="24"/>
          <w:lang w:val="it-IT"/>
        </w:rPr>
      </w:pPr>
      <w:r>
        <w:rPr>
          <w:sz w:val="24"/>
          <w:lang w:val="it-IT"/>
        </w:rPr>
        <w:t xml:space="preserve">In simboli: </w:t>
      </w:r>
      <w:r>
        <w:rPr>
          <w:sz w:val="24"/>
          <w:lang w:val="it-IT"/>
        </w:rPr>
        <w:tab/>
      </w:r>
      <w:r w:rsidRPr="00C813F3">
        <w:rPr>
          <w:b/>
          <w:i/>
          <w:sz w:val="24"/>
          <w:lang w:val="it-IT"/>
        </w:rPr>
        <w:t>sin</w:t>
      </w:r>
      <w:r w:rsidRPr="00C813F3">
        <w:rPr>
          <w:rFonts w:cstheme="minorHAnsi"/>
          <w:b/>
          <w:i/>
          <w:sz w:val="24"/>
          <w:lang w:val="it-IT"/>
        </w:rPr>
        <w:t>α</w:t>
      </w:r>
      <w:r w:rsidRPr="00C813F3">
        <w:rPr>
          <w:b/>
          <w:i/>
          <w:sz w:val="24"/>
          <w:lang w:val="it-IT"/>
        </w:rPr>
        <w:t>2/sin</w:t>
      </w:r>
      <w:r w:rsidRPr="00C813F3">
        <w:rPr>
          <w:rFonts w:cstheme="minorHAnsi"/>
          <w:b/>
          <w:i/>
          <w:sz w:val="24"/>
          <w:lang w:val="it-IT"/>
        </w:rPr>
        <w:t>α</w:t>
      </w:r>
      <w:r w:rsidRPr="00C813F3">
        <w:rPr>
          <w:b/>
          <w:i/>
          <w:sz w:val="24"/>
          <w:lang w:val="it-IT"/>
        </w:rPr>
        <w:t>1 = n1/n2</w:t>
      </w:r>
    </w:p>
    <w:p w:rsidR="002D4792" w:rsidRPr="002D4792" w:rsidRDefault="002D4792" w:rsidP="002D4792">
      <w:pPr>
        <w:pStyle w:val="Paragrafoelenco"/>
        <w:jc w:val="both"/>
        <w:rPr>
          <w:b/>
          <w:i/>
          <w:sz w:val="24"/>
          <w:lang w:val="it-IT"/>
        </w:rPr>
      </w:pPr>
    </w:p>
    <w:p w:rsidR="0098381D" w:rsidRDefault="002D4792" w:rsidP="00483C71">
      <w:pPr>
        <w:pStyle w:val="Paragrafoelenco"/>
        <w:numPr>
          <w:ilvl w:val="0"/>
          <w:numId w:val="2"/>
        </w:numPr>
        <w:jc w:val="both"/>
        <w:rPr>
          <w:sz w:val="24"/>
          <w:lang w:val="it-IT"/>
        </w:rPr>
      </w:pPr>
      <w:r>
        <w:rPr>
          <w:noProof/>
          <w:sz w:val="24"/>
          <w:lang w:val="it-IT" w:eastAsia="it-IT"/>
        </w:rPr>
        <w:drawing>
          <wp:anchor distT="0" distB="0" distL="114300" distR="114300" simplePos="0" relativeHeight="251658240" behindDoc="1" locked="0" layoutInCell="1" allowOverlap="1" wp14:anchorId="72E6CCB7" wp14:editId="1B488D08">
            <wp:simplePos x="0" y="0"/>
            <wp:positionH relativeFrom="column">
              <wp:posOffset>3116580</wp:posOffset>
            </wp:positionH>
            <wp:positionV relativeFrom="paragraph">
              <wp:posOffset>40005</wp:posOffset>
            </wp:positionV>
            <wp:extent cx="3072130" cy="2847975"/>
            <wp:effectExtent l="0" t="0" r="0" b="9525"/>
            <wp:wrapThrough wrapText="bothSides">
              <wp:wrapPolygon edited="0">
                <wp:start x="0" y="0"/>
                <wp:lineTo x="0" y="21528"/>
                <wp:lineTo x="21430" y="21528"/>
                <wp:lineTo x="21430" y="0"/>
                <wp:lineTo x="0" y="0"/>
              </wp:wrapPolygon>
            </wp:wrapThrough>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ggedisnell.png"/>
                    <pic:cNvPicPr/>
                  </pic:nvPicPr>
                  <pic:blipFill>
                    <a:blip r:embed="rId9">
                      <a:extLst>
                        <a:ext uri="{28A0092B-C50C-407E-A947-70E740481C1C}">
                          <a14:useLocalDpi xmlns:a14="http://schemas.microsoft.com/office/drawing/2010/main" val="0"/>
                        </a:ext>
                      </a:extLst>
                    </a:blip>
                    <a:stretch>
                      <a:fillRect/>
                    </a:stretch>
                  </pic:blipFill>
                  <pic:spPr>
                    <a:xfrm>
                      <a:off x="0" y="0"/>
                      <a:ext cx="3072130" cy="2847975"/>
                    </a:xfrm>
                    <a:prstGeom prst="rect">
                      <a:avLst/>
                    </a:prstGeom>
                  </pic:spPr>
                </pic:pic>
              </a:graphicData>
            </a:graphic>
            <wp14:sizeRelH relativeFrom="page">
              <wp14:pctWidth>0</wp14:pctWidth>
            </wp14:sizeRelH>
            <wp14:sizeRelV relativeFrom="page">
              <wp14:pctHeight>0</wp14:pctHeight>
            </wp14:sizeRelV>
          </wp:anchor>
        </w:drawing>
      </w:r>
      <w:r w:rsidR="00D11D1E">
        <w:rPr>
          <w:sz w:val="24"/>
          <w:lang w:val="it-IT"/>
        </w:rPr>
        <w:t>Quando il raggio luminoso passa da un mezzo materia</w:t>
      </w:r>
      <w:r w:rsidR="005973AB">
        <w:rPr>
          <w:sz w:val="24"/>
          <w:lang w:val="it-IT"/>
        </w:rPr>
        <w:t>le che ha un indice di rifrazione minore del secondo materiale,</w:t>
      </w:r>
      <w:r w:rsidR="00257330">
        <w:rPr>
          <w:sz w:val="24"/>
          <w:lang w:val="it-IT"/>
        </w:rPr>
        <w:t xml:space="preserve"> come nel passaggio da aria ad </w:t>
      </w:r>
      <w:r w:rsidR="00D11D1E">
        <w:rPr>
          <w:sz w:val="24"/>
          <w:lang w:val="it-IT"/>
        </w:rPr>
        <w:t>acqua</w:t>
      </w:r>
      <w:r w:rsidR="00257330">
        <w:rPr>
          <w:sz w:val="24"/>
          <w:lang w:val="it-IT"/>
        </w:rPr>
        <w:t xml:space="preserve">, piuttosto che </w:t>
      </w:r>
      <w:bookmarkStart w:id="0" w:name="_GoBack"/>
      <w:bookmarkEnd w:id="0"/>
      <w:r w:rsidR="0098381D">
        <w:rPr>
          <w:sz w:val="24"/>
          <w:lang w:val="it-IT"/>
        </w:rPr>
        <w:t xml:space="preserve">olio, subisce una deviazione tale per cui l’angolo rifratto è minore dell’angolo incidente. Viceversa, se il passaggio avviene da un mezzo materiale </w:t>
      </w:r>
      <w:r w:rsidR="004A082D">
        <w:rPr>
          <w:sz w:val="24"/>
          <w:lang w:val="it-IT"/>
        </w:rPr>
        <w:t>ad indice di rifrazione minore ad uno ad indice di rifrazione maggiore</w:t>
      </w:r>
      <w:r w:rsidR="0098381D">
        <w:rPr>
          <w:sz w:val="24"/>
          <w:lang w:val="it-IT"/>
        </w:rPr>
        <w:t xml:space="preserve"> l’angolo rifratto risulta maggiore di quello incidente.</w:t>
      </w:r>
    </w:p>
    <w:p w:rsidR="002D4792" w:rsidRPr="002D4792" w:rsidRDefault="002D4792" w:rsidP="002D4792">
      <w:pPr>
        <w:jc w:val="both"/>
        <w:rPr>
          <w:sz w:val="24"/>
          <w:lang w:val="it-IT"/>
        </w:rPr>
      </w:pPr>
    </w:p>
    <w:p w:rsidR="002D4792" w:rsidRPr="002D4792" w:rsidRDefault="002D4792" w:rsidP="002D4792">
      <w:pPr>
        <w:pStyle w:val="Paragrafoelenco"/>
        <w:jc w:val="both"/>
        <w:rPr>
          <w:sz w:val="24"/>
          <w:lang w:val="it-IT"/>
        </w:rPr>
      </w:pPr>
    </w:p>
    <w:p w:rsidR="00C813F3" w:rsidRDefault="00C813F3" w:rsidP="00C813F3">
      <w:pPr>
        <w:pStyle w:val="Paragrafoelenco"/>
        <w:ind w:left="0"/>
        <w:jc w:val="both"/>
        <w:rPr>
          <w:sz w:val="24"/>
          <w:lang w:val="it-IT"/>
        </w:rPr>
      </w:pPr>
    </w:p>
    <w:p w:rsidR="00C813F3" w:rsidRDefault="00C813F3" w:rsidP="00C813F3">
      <w:pPr>
        <w:pStyle w:val="Paragrafoelenco"/>
        <w:ind w:left="0"/>
        <w:jc w:val="both"/>
        <w:rPr>
          <w:sz w:val="24"/>
          <w:lang w:val="it-IT"/>
        </w:rPr>
      </w:pPr>
    </w:p>
    <w:p w:rsidR="002D4792" w:rsidRDefault="002D4792" w:rsidP="00C813F3">
      <w:pPr>
        <w:pStyle w:val="Paragrafoelenco"/>
        <w:ind w:left="0"/>
        <w:jc w:val="both"/>
        <w:rPr>
          <w:sz w:val="24"/>
          <w:lang w:val="it-IT"/>
        </w:rPr>
      </w:pPr>
    </w:p>
    <w:p w:rsidR="00166B03" w:rsidRDefault="00166B03" w:rsidP="00C813F3">
      <w:pPr>
        <w:pStyle w:val="Paragrafoelenco"/>
        <w:ind w:left="0"/>
        <w:jc w:val="both"/>
        <w:rPr>
          <w:sz w:val="24"/>
          <w:lang w:val="it-IT"/>
        </w:rPr>
      </w:pPr>
    </w:p>
    <w:p w:rsidR="00C813F3" w:rsidRDefault="00C813F3" w:rsidP="00C813F3">
      <w:pPr>
        <w:pStyle w:val="Paragrafoelenco"/>
        <w:ind w:left="0"/>
        <w:jc w:val="both"/>
        <w:rPr>
          <w:b/>
          <w:sz w:val="24"/>
          <w:u w:val="single"/>
          <w:lang w:val="it-IT"/>
        </w:rPr>
      </w:pPr>
      <w:r w:rsidRPr="00C813F3">
        <w:rPr>
          <w:b/>
          <w:sz w:val="24"/>
          <w:u w:val="single"/>
          <w:lang w:val="it-IT"/>
        </w:rPr>
        <w:t>Aspetto sperimentale</w:t>
      </w:r>
    </w:p>
    <w:p w:rsidR="00C813F3" w:rsidRDefault="00C813F3" w:rsidP="00C813F3">
      <w:pPr>
        <w:pStyle w:val="Paragrafoelenco"/>
        <w:ind w:left="0"/>
        <w:jc w:val="both"/>
        <w:rPr>
          <w:b/>
          <w:sz w:val="24"/>
          <w:u w:val="single"/>
          <w:lang w:val="it-IT"/>
        </w:rPr>
      </w:pPr>
    </w:p>
    <w:p w:rsidR="00C813F3" w:rsidRDefault="00C813F3" w:rsidP="00C813F3">
      <w:pPr>
        <w:pStyle w:val="Paragrafoelenco"/>
        <w:numPr>
          <w:ilvl w:val="0"/>
          <w:numId w:val="2"/>
        </w:numPr>
        <w:jc w:val="both"/>
        <w:rPr>
          <w:sz w:val="24"/>
          <w:lang w:val="it-IT"/>
        </w:rPr>
      </w:pPr>
      <w:r>
        <w:rPr>
          <w:sz w:val="24"/>
          <w:lang w:val="it-IT"/>
        </w:rPr>
        <w:t>Il video presenta due tipi d</w:t>
      </w:r>
      <w:r w:rsidR="00A73A73">
        <w:rPr>
          <w:sz w:val="24"/>
          <w:lang w:val="it-IT"/>
        </w:rPr>
        <w:t>i esperimenti: il primo serve ad osservare gli effetti della rifrazione, il secondo serve a spiegare quanto osservato attraverso il primo.</w:t>
      </w:r>
    </w:p>
    <w:p w:rsidR="00A73A73" w:rsidRDefault="00A73A73" w:rsidP="00C813F3">
      <w:pPr>
        <w:pStyle w:val="Paragrafoelenco"/>
        <w:numPr>
          <w:ilvl w:val="0"/>
          <w:numId w:val="2"/>
        </w:numPr>
        <w:jc w:val="both"/>
        <w:rPr>
          <w:sz w:val="24"/>
          <w:lang w:val="it-IT"/>
        </w:rPr>
      </w:pPr>
      <w:r>
        <w:rPr>
          <w:sz w:val="24"/>
          <w:lang w:val="it-IT"/>
        </w:rPr>
        <w:t xml:space="preserve">Il materiale necessario alla realizzazione degli esperimenti è totalmente sicuro e facile da reperire in qualsiasi abitazione. Si avrà bisogno infatti di un qualsiasi recipiente di plastica, una forbice, dello spago, un rotolo di scotch, una moneta e una </w:t>
      </w:r>
      <w:r w:rsidR="00C73CA9">
        <w:rPr>
          <w:sz w:val="24"/>
          <w:lang w:val="it-IT"/>
        </w:rPr>
        <w:t>brocca tarata da riempire con acqua e olio di semi.</w:t>
      </w:r>
    </w:p>
    <w:p w:rsidR="00C73CA9" w:rsidRDefault="00C73CA9" w:rsidP="00C813F3">
      <w:pPr>
        <w:pStyle w:val="Paragrafoelenco"/>
        <w:numPr>
          <w:ilvl w:val="0"/>
          <w:numId w:val="2"/>
        </w:numPr>
        <w:jc w:val="both"/>
        <w:rPr>
          <w:sz w:val="24"/>
          <w:lang w:val="it-IT"/>
        </w:rPr>
      </w:pPr>
      <w:r>
        <w:rPr>
          <w:sz w:val="24"/>
          <w:lang w:val="it-IT"/>
        </w:rPr>
        <w:t xml:space="preserve">Per osservare ciò che si intende per rifrazione della luce posizionare la moneta contro lo spigolo </w:t>
      </w:r>
      <w:r w:rsidR="00D55C13">
        <w:rPr>
          <w:sz w:val="24"/>
          <w:lang w:val="it-IT"/>
        </w:rPr>
        <w:t xml:space="preserve">fra il fondo e la parete </w:t>
      </w:r>
      <w:r>
        <w:rPr>
          <w:sz w:val="24"/>
          <w:lang w:val="it-IT"/>
        </w:rPr>
        <w:t>più lontano del recipiente</w:t>
      </w:r>
      <w:r w:rsidR="00D55C13">
        <w:rPr>
          <w:sz w:val="24"/>
          <w:lang w:val="it-IT"/>
        </w:rPr>
        <w:t>,</w:t>
      </w:r>
      <w:r>
        <w:rPr>
          <w:sz w:val="24"/>
          <w:lang w:val="it-IT"/>
        </w:rPr>
        <w:t xml:space="preserve"> e posizionarsi in modo tale da non vederla. Successivamente , rimanendo nella stessa posizione, si deve riempire il recipiente  fino a che la moneta non risulti perfettamente visibile attraverso la superficie dell’acqua. La moneta, che era invisibile quando nel recipiente era presente solo aria, appare perfettamente visibile una volta riempito di acqua proprio a causa dell’effetto di rifrazione dei raggi luminosi che i nostri occhi ricevono.</w:t>
      </w:r>
    </w:p>
    <w:p w:rsidR="00D55C13" w:rsidRDefault="00C73CA9" w:rsidP="00D55C13">
      <w:pPr>
        <w:pStyle w:val="Paragrafoelenco"/>
        <w:numPr>
          <w:ilvl w:val="0"/>
          <w:numId w:val="2"/>
        </w:numPr>
        <w:jc w:val="both"/>
        <w:rPr>
          <w:sz w:val="24"/>
          <w:lang w:val="it-IT"/>
        </w:rPr>
      </w:pPr>
      <w:r w:rsidRPr="00D55C13">
        <w:rPr>
          <w:sz w:val="24"/>
          <w:lang w:val="it-IT"/>
        </w:rPr>
        <w:t xml:space="preserve">Per spiegare concretamente questa deviazione dei raggi luminosi </w:t>
      </w:r>
      <w:r w:rsidR="00D55C13" w:rsidRPr="00D55C13">
        <w:rPr>
          <w:sz w:val="24"/>
          <w:lang w:val="it-IT"/>
        </w:rPr>
        <w:t xml:space="preserve">preparare un secondo esperimento, legando con dello scotch </w:t>
      </w:r>
      <w:r w:rsidR="00D55C13">
        <w:rPr>
          <w:sz w:val="24"/>
          <w:lang w:val="it-IT"/>
        </w:rPr>
        <w:t>un filo di</w:t>
      </w:r>
      <w:r w:rsidR="00D55C13" w:rsidRPr="00D55C13">
        <w:rPr>
          <w:sz w:val="24"/>
          <w:lang w:val="it-IT"/>
        </w:rPr>
        <w:t xml:space="preserve"> spago</w:t>
      </w:r>
      <w:r w:rsidR="00D55C13">
        <w:rPr>
          <w:sz w:val="24"/>
          <w:lang w:val="it-IT"/>
        </w:rPr>
        <w:t xml:space="preserve"> di circa 60 cm</w:t>
      </w:r>
      <w:r w:rsidR="00D55C13" w:rsidRPr="00D55C13">
        <w:rPr>
          <w:sz w:val="24"/>
          <w:lang w:val="it-IT"/>
        </w:rPr>
        <w:t xml:space="preserve"> alla moneta. Lo spago simula il raggio luminoso, che viene deviato, permettendo la visione della moneta con un’angolazione rispetto alla verticale</w:t>
      </w:r>
      <w:r w:rsidR="00D55C13">
        <w:rPr>
          <w:sz w:val="24"/>
          <w:lang w:val="it-IT"/>
        </w:rPr>
        <w:t xml:space="preserve"> (la parete del recipiente). </w:t>
      </w:r>
    </w:p>
    <w:p w:rsidR="00D55C13" w:rsidRDefault="00D55C13" w:rsidP="00D55C13">
      <w:pPr>
        <w:pStyle w:val="Paragrafoelenco"/>
        <w:jc w:val="both"/>
        <w:rPr>
          <w:sz w:val="24"/>
          <w:lang w:val="it-IT"/>
        </w:rPr>
      </w:pPr>
      <w:r>
        <w:rPr>
          <w:sz w:val="24"/>
          <w:lang w:val="it-IT"/>
        </w:rPr>
        <w:t>Primo caso: recipiente vuoto (aria)</w:t>
      </w:r>
    </w:p>
    <w:p w:rsidR="00D55C13" w:rsidRDefault="00D55C13" w:rsidP="00D55C13">
      <w:pPr>
        <w:pStyle w:val="Paragrafoelenco"/>
        <w:jc w:val="both"/>
        <w:rPr>
          <w:sz w:val="24"/>
          <w:lang w:val="it-IT"/>
        </w:rPr>
      </w:pPr>
      <w:r>
        <w:rPr>
          <w:sz w:val="24"/>
          <w:lang w:val="it-IT"/>
        </w:rPr>
        <w:t>Portare lo spago all’altezza degli occhi e abbassarsi fino al punto più basso in cui la moneta è interamente visibile. Quindi scattare una foto della situazione.</w:t>
      </w:r>
    </w:p>
    <w:p w:rsidR="00D55C13" w:rsidRDefault="00D55C13" w:rsidP="00D55C13">
      <w:pPr>
        <w:pStyle w:val="Paragrafoelenco"/>
        <w:jc w:val="both"/>
        <w:rPr>
          <w:sz w:val="24"/>
          <w:lang w:val="it-IT"/>
        </w:rPr>
      </w:pPr>
      <w:r>
        <w:rPr>
          <w:sz w:val="24"/>
          <w:lang w:val="it-IT"/>
        </w:rPr>
        <w:t>Secondo caso: recipiente pieno (acqua)</w:t>
      </w:r>
    </w:p>
    <w:p w:rsidR="00D55C13" w:rsidRDefault="00D55C13" w:rsidP="00D55C13">
      <w:pPr>
        <w:pStyle w:val="Paragrafoelenco"/>
        <w:jc w:val="both"/>
        <w:rPr>
          <w:sz w:val="24"/>
          <w:lang w:val="it-IT"/>
        </w:rPr>
      </w:pPr>
      <w:r>
        <w:rPr>
          <w:sz w:val="24"/>
          <w:lang w:val="it-IT"/>
        </w:rPr>
        <w:t>Portare lo spago all’altezza degli occhi e abbassarsi fino al punto più basso in cui la moneta è interamente visibile. Quindi scattare una foto della situazione.</w:t>
      </w:r>
    </w:p>
    <w:p w:rsidR="00D55C13" w:rsidRDefault="00D55C13" w:rsidP="00D55C13">
      <w:pPr>
        <w:pStyle w:val="Paragrafoelenco"/>
        <w:jc w:val="both"/>
        <w:rPr>
          <w:sz w:val="24"/>
          <w:lang w:val="it-IT"/>
        </w:rPr>
      </w:pPr>
      <w:r>
        <w:rPr>
          <w:sz w:val="24"/>
          <w:lang w:val="it-IT"/>
        </w:rPr>
        <w:t>Terzo caso: recipiente pieno (olio)</w:t>
      </w:r>
    </w:p>
    <w:p w:rsidR="00D55C13" w:rsidRDefault="00D55C13" w:rsidP="00D55C13">
      <w:pPr>
        <w:pStyle w:val="Paragrafoelenco"/>
        <w:jc w:val="both"/>
        <w:rPr>
          <w:sz w:val="24"/>
          <w:lang w:val="it-IT"/>
        </w:rPr>
      </w:pPr>
      <w:r>
        <w:rPr>
          <w:sz w:val="24"/>
          <w:lang w:val="it-IT"/>
        </w:rPr>
        <w:t>Portare lo spago all’altezza degli occhi e abbassarsi fino al punto più basso in cui la moneta è interamente visibile. Quindi scattare una foto della situazione.</w:t>
      </w:r>
    </w:p>
    <w:p w:rsidR="00724F69" w:rsidRDefault="00CA0317" w:rsidP="00724F69">
      <w:pPr>
        <w:pStyle w:val="Paragrafoelenco"/>
        <w:jc w:val="both"/>
        <w:rPr>
          <w:sz w:val="24"/>
          <w:lang w:val="it-IT"/>
        </w:rPr>
      </w:pPr>
      <w:r>
        <w:rPr>
          <w:noProof/>
          <w:sz w:val="24"/>
          <w:lang w:val="it-IT" w:eastAsia="it-IT"/>
        </w:rPr>
        <w:drawing>
          <wp:anchor distT="0" distB="0" distL="114300" distR="114300" simplePos="0" relativeHeight="251659264" behindDoc="1" locked="0" layoutInCell="1" allowOverlap="1" wp14:anchorId="2D75428E" wp14:editId="0686FC2F">
            <wp:simplePos x="0" y="0"/>
            <wp:positionH relativeFrom="column">
              <wp:posOffset>3994785</wp:posOffset>
            </wp:positionH>
            <wp:positionV relativeFrom="paragraph">
              <wp:posOffset>430530</wp:posOffset>
            </wp:positionV>
            <wp:extent cx="2143125" cy="2143125"/>
            <wp:effectExtent l="0" t="0" r="9525" b="9525"/>
            <wp:wrapThrough wrapText="bothSides">
              <wp:wrapPolygon edited="0">
                <wp:start x="0" y="0"/>
                <wp:lineTo x="0" y="21504"/>
                <wp:lineTo x="21504" y="21504"/>
                <wp:lineTo x="21504" y="0"/>
                <wp:lineTo x="0" y="0"/>
              </wp:wrapPolygon>
            </wp:wrapThrough>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0">
                      <a:extLst>
                        <a:ext uri="{28A0092B-C50C-407E-A947-70E740481C1C}">
                          <a14:useLocalDpi xmlns:a14="http://schemas.microsoft.com/office/drawing/2010/main" val="0"/>
                        </a:ext>
                      </a:extLst>
                    </a:blip>
                    <a:stretch>
                      <a:fillRect/>
                    </a:stretch>
                  </pic:blipFill>
                  <pic:spPr>
                    <a:xfrm>
                      <a:off x="0" y="0"/>
                      <a:ext cx="2143125" cy="2143125"/>
                    </a:xfrm>
                    <a:prstGeom prst="rect">
                      <a:avLst/>
                    </a:prstGeom>
                  </pic:spPr>
                </pic:pic>
              </a:graphicData>
            </a:graphic>
            <wp14:sizeRelH relativeFrom="page">
              <wp14:pctWidth>0</wp14:pctWidth>
            </wp14:sizeRelH>
            <wp14:sizeRelV relativeFrom="page">
              <wp14:pctHeight>0</wp14:pctHeight>
            </wp14:sizeRelV>
          </wp:anchor>
        </w:drawing>
      </w:r>
      <w:r w:rsidR="00D55C13">
        <w:rPr>
          <w:sz w:val="24"/>
          <w:lang w:val="it-IT"/>
        </w:rPr>
        <w:t>Confrontare le tre foto scattate: si osserverà che l’angolo che si crea tra il prolungamento della parete del recipiente aumenta tanto più quanto p</w:t>
      </w:r>
      <w:r w:rsidR="00260826">
        <w:rPr>
          <w:sz w:val="24"/>
          <w:lang w:val="it-IT"/>
        </w:rPr>
        <w:t xml:space="preserve">iù è </w:t>
      </w:r>
      <w:r w:rsidR="005973AB">
        <w:rPr>
          <w:sz w:val="24"/>
          <w:lang w:val="it-IT"/>
        </w:rPr>
        <w:t>maggiore l’indice di rifrazione d</w:t>
      </w:r>
      <w:r w:rsidR="00260826">
        <w:rPr>
          <w:sz w:val="24"/>
          <w:lang w:val="it-IT"/>
        </w:rPr>
        <w:t xml:space="preserve">el </w:t>
      </w:r>
      <w:r w:rsidR="005973AB">
        <w:rPr>
          <w:sz w:val="24"/>
          <w:lang w:val="it-IT"/>
        </w:rPr>
        <w:t xml:space="preserve">fluido presente nel </w:t>
      </w:r>
      <w:r w:rsidR="00260826">
        <w:rPr>
          <w:sz w:val="24"/>
          <w:lang w:val="it-IT"/>
        </w:rPr>
        <w:t>recipiente.</w:t>
      </w:r>
    </w:p>
    <w:p w:rsidR="00260826" w:rsidRPr="00724F69" w:rsidRDefault="00260826" w:rsidP="00724F69">
      <w:pPr>
        <w:pStyle w:val="Paragrafoelenco"/>
        <w:jc w:val="both"/>
        <w:rPr>
          <w:sz w:val="24"/>
          <w:lang w:val="it-IT"/>
        </w:rPr>
      </w:pPr>
    </w:p>
    <w:p w:rsidR="002D4792" w:rsidRDefault="002D4792" w:rsidP="00D55C13">
      <w:pPr>
        <w:pStyle w:val="Paragrafoelenco"/>
        <w:numPr>
          <w:ilvl w:val="0"/>
          <w:numId w:val="2"/>
        </w:numPr>
        <w:jc w:val="both"/>
        <w:rPr>
          <w:sz w:val="24"/>
          <w:lang w:val="it-IT"/>
        </w:rPr>
      </w:pPr>
      <w:r>
        <w:rPr>
          <w:sz w:val="24"/>
          <w:lang w:val="it-IT"/>
        </w:rPr>
        <w:t xml:space="preserve">La rifrazione è responsabile di fenomeni </w:t>
      </w:r>
      <w:r w:rsidR="00724F69">
        <w:rPr>
          <w:sz w:val="24"/>
          <w:lang w:val="it-IT"/>
        </w:rPr>
        <w:t>molto</w:t>
      </w:r>
      <w:r>
        <w:rPr>
          <w:sz w:val="24"/>
          <w:lang w:val="it-IT"/>
        </w:rPr>
        <w:t xml:space="preserve"> comuni, quali lo spostamento apparente di un oggetto immerso in un liquido trasparente, </w:t>
      </w:r>
      <w:r w:rsidR="00724F69">
        <w:rPr>
          <w:sz w:val="24"/>
          <w:lang w:val="it-IT"/>
        </w:rPr>
        <w:t xml:space="preserve">o la visione di un oggetto </w:t>
      </w:r>
      <w:r>
        <w:rPr>
          <w:sz w:val="24"/>
          <w:lang w:val="it-IT"/>
        </w:rPr>
        <w:t>come può avvenire per una cannuccia</w:t>
      </w:r>
      <w:r w:rsidR="00724F69">
        <w:rPr>
          <w:sz w:val="24"/>
          <w:lang w:val="it-IT"/>
        </w:rPr>
        <w:t xml:space="preserve"> o una matita</w:t>
      </w:r>
      <w:r>
        <w:rPr>
          <w:sz w:val="24"/>
          <w:lang w:val="it-IT"/>
        </w:rPr>
        <w:t xml:space="preserve"> immersa in un bicchiere d’acqua.</w:t>
      </w:r>
    </w:p>
    <w:p w:rsidR="002D4792" w:rsidRDefault="002D4792" w:rsidP="002D4792">
      <w:pPr>
        <w:jc w:val="both"/>
        <w:rPr>
          <w:sz w:val="24"/>
          <w:lang w:val="it-IT"/>
        </w:rPr>
      </w:pPr>
    </w:p>
    <w:p w:rsidR="00724F69" w:rsidRDefault="00724F69" w:rsidP="002D4792">
      <w:pPr>
        <w:jc w:val="both"/>
        <w:rPr>
          <w:sz w:val="24"/>
          <w:lang w:val="it-IT"/>
        </w:rPr>
      </w:pPr>
    </w:p>
    <w:p w:rsidR="00724F69" w:rsidRDefault="00724F69" w:rsidP="002D4792">
      <w:pPr>
        <w:jc w:val="both"/>
        <w:rPr>
          <w:sz w:val="24"/>
          <w:lang w:val="it-IT"/>
        </w:rPr>
      </w:pPr>
    </w:p>
    <w:p w:rsidR="002D4792" w:rsidRDefault="002D4792" w:rsidP="002D4792">
      <w:pPr>
        <w:jc w:val="both"/>
        <w:rPr>
          <w:b/>
          <w:sz w:val="24"/>
          <w:u w:val="single"/>
          <w:lang w:val="it-IT"/>
        </w:rPr>
      </w:pPr>
      <w:proofErr w:type="spellStart"/>
      <w:r>
        <w:rPr>
          <w:b/>
          <w:sz w:val="24"/>
          <w:u w:val="single"/>
          <w:lang w:val="it-IT"/>
        </w:rPr>
        <w:t>Sitografia</w:t>
      </w:r>
      <w:proofErr w:type="spellEnd"/>
    </w:p>
    <w:p w:rsidR="002D4792" w:rsidRDefault="00E8748D" w:rsidP="002D4792">
      <w:pPr>
        <w:jc w:val="both"/>
        <w:rPr>
          <w:sz w:val="24"/>
          <w:lang w:val="it-IT"/>
        </w:rPr>
      </w:pPr>
      <w:hyperlink r:id="rId11" w:history="1">
        <w:r w:rsidR="002D4792" w:rsidRPr="00F35CDA">
          <w:rPr>
            <w:rStyle w:val="Collegamentoipertestuale"/>
            <w:sz w:val="24"/>
            <w:lang w:val="it-IT"/>
          </w:rPr>
          <w:t>http://fisicaondemusica.unimore.it/Rifrazione.html</w:t>
        </w:r>
      </w:hyperlink>
    </w:p>
    <w:p w:rsidR="002D4792" w:rsidRDefault="00E8748D" w:rsidP="002D4792">
      <w:pPr>
        <w:jc w:val="both"/>
        <w:rPr>
          <w:sz w:val="24"/>
          <w:lang w:val="it-IT"/>
        </w:rPr>
      </w:pPr>
      <w:hyperlink r:id="rId12" w:history="1">
        <w:r w:rsidR="002D4792" w:rsidRPr="00F35CDA">
          <w:rPr>
            <w:rStyle w:val="Collegamentoipertestuale"/>
            <w:sz w:val="24"/>
            <w:lang w:val="it-IT"/>
          </w:rPr>
          <w:t>https://www.chimica-online.it/download/rifrazione.htm</w:t>
        </w:r>
      </w:hyperlink>
    </w:p>
    <w:p w:rsidR="00384ED7" w:rsidRPr="002D4792" w:rsidRDefault="00E8748D" w:rsidP="002D4792">
      <w:pPr>
        <w:jc w:val="both"/>
        <w:rPr>
          <w:sz w:val="24"/>
          <w:lang w:val="it-IT"/>
        </w:rPr>
      </w:pPr>
      <w:hyperlink r:id="rId13" w:history="1">
        <w:r w:rsidR="00384ED7" w:rsidRPr="00F35CDA">
          <w:rPr>
            <w:rStyle w:val="Collegamentoipertestuale"/>
            <w:sz w:val="24"/>
            <w:lang w:val="it-IT"/>
          </w:rPr>
          <w:t>https://it.wikipedia.org/wiki/Rifrazione</w:t>
        </w:r>
      </w:hyperlink>
    </w:p>
    <w:sectPr w:rsidR="00384ED7" w:rsidRPr="002D479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748D" w:rsidRDefault="00E8748D" w:rsidP="000B3B96">
      <w:r>
        <w:separator/>
      </w:r>
    </w:p>
  </w:endnote>
  <w:endnote w:type="continuationSeparator" w:id="0">
    <w:p w:rsidR="00E8748D" w:rsidRDefault="00E8748D" w:rsidP="000B3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748D" w:rsidRDefault="00E8748D" w:rsidP="000B3B96">
      <w:r>
        <w:separator/>
      </w:r>
    </w:p>
  </w:footnote>
  <w:footnote w:type="continuationSeparator" w:id="0">
    <w:p w:rsidR="00E8748D" w:rsidRDefault="00E8748D" w:rsidP="000B3B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D3BCB"/>
    <w:multiLevelType w:val="hybridMultilevel"/>
    <w:tmpl w:val="308AA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9700CC0"/>
    <w:multiLevelType w:val="hybridMultilevel"/>
    <w:tmpl w:val="C0503F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B96"/>
    <w:rsid w:val="00066097"/>
    <w:rsid w:val="000B3B96"/>
    <w:rsid w:val="00166B03"/>
    <w:rsid w:val="00207B72"/>
    <w:rsid w:val="00257330"/>
    <w:rsid w:val="00260826"/>
    <w:rsid w:val="002D4792"/>
    <w:rsid w:val="003165F0"/>
    <w:rsid w:val="00384ED7"/>
    <w:rsid w:val="00483C71"/>
    <w:rsid w:val="004A082D"/>
    <w:rsid w:val="00505BC7"/>
    <w:rsid w:val="005973AB"/>
    <w:rsid w:val="00724F69"/>
    <w:rsid w:val="00754120"/>
    <w:rsid w:val="0098381D"/>
    <w:rsid w:val="00A73A73"/>
    <w:rsid w:val="00C73CA9"/>
    <w:rsid w:val="00C813F3"/>
    <w:rsid w:val="00CA0317"/>
    <w:rsid w:val="00CE0FDE"/>
    <w:rsid w:val="00D11D1E"/>
    <w:rsid w:val="00D55C13"/>
    <w:rsid w:val="00DC1E0F"/>
    <w:rsid w:val="00E874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B3B96"/>
    <w:pPr>
      <w:tabs>
        <w:tab w:val="center" w:pos="4819"/>
        <w:tab w:val="right" w:pos="9638"/>
      </w:tabs>
    </w:pPr>
  </w:style>
  <w:style w:type="character" w:customStyle="1" w:styleId="IntestazioneCarattere">
    <w:name w:val="Intestazione Carattere"/>
    <w:basedOn w:val="Carpredefinitoparagrafo"/>
    <w:link w:val="Intestazione"/>
    <w:uiPriority w:val="99"/>
    <w:rsid w:val="000B3B96"/>
    <w:rPr>
      <w:lang w:val="en-GB"/>
    </w:rPr>
  </w:style>
  <w:style w:type="paragraph" w:styleId="Pidipagina">
    <w:name w:val="footer"/>
    <w:basedOn w:val="Normale"/>
    <w:link w:val="PidipaginaCarattere"/>
    <w:uiPriority w:val="99"/>
    <w:unhideWhenUsed/>
    <w:rsid w:val="000B3B96"/>
    <w:pPr>
      <w:tabs>
        <w:tab w:val="center" w:pos="4819"/>
        <w:tab w:val="right" w:pos="9638"/>
      </w:tabs>
    </w:pPr>
  </w:style>
  <w:style w:type="character" w:customStyle="1" w:styleId="PidipaginaCarattere">
    <w:name w:val="Piè di pagina Carattere"/>
    <w:basedOn w:val="Carpredefinitoparagrafo"/>
    <w:link w:val="Pidipagina"/>
    <w:uiPriority w:val="99"/>
    <w:rsid w:val="000B3B96"/>
    <w:rPr>
      <w:lang w:val="en-GB"/>
    </w:rPr>
  </w:style>
  <w:style w:type="paragraph" w:styleId="Testofumetto">
    <w:name w:val="Balloon Text"/>
    <w:basedOn w:val="Normale"/>
    <w:link w:val="TestofumettoCarattere"/>
    <w:uiPriority w:val="99"/>
    <w:semiHidden/>
    <w:unhideWhenUsed/>
    <w:rsid w:val="000B3B96"/>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B3B96"/>
    <w:rPr>
      <w:rFonts w:ascii="Tahoma" w:hAnsi="Tahoma" w:cs="Tahoma"/>
      <w:sz w:val="16"/>
      <w:szCs w:val="16"/>
      <w:lang w:val="en-GB"/>
    </w:rPr>
  </w:style>
  <w:style w:type="paragraph" w:styleId="Paragrafoelenco">
    <w:name w:val="List Paragraph"/>
    <w:basedOn w:val="Normale"/>
    <w:uiPriority w:val="34"/>
    <w:qFormat/>
    <w:rsid w:val="000B3B96"/>
    <w:pPr>
      <w:ind w:left="720"/>
      <w:contextualSpacing/>
    </w:pPr>
  </w:style>
  <w:style w:type="character" w:styleId="Collegamentoipertestuale">
    <w:name w:val="Hyperlink"/>
    <w:basedOn w:val="Carpredefinitoparagrafo"/>
    <w:uiPriority w:val="99"/>
    <w:unhideWhenUsed/>
    <w:rsid w:val="002D479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B3B96"/>
    <w:pPr>
      <w:tabs>
        <w:tab w:val="center" w:pos="4819"/>
        <w:tab w:val="right" w:pos="9638"/>
      </w:tabs>
    </w:pPr>
  </w:style>
  <w:style w:type="character" w:customStyle="1" w:styleId="IntestazioneCarattere">
    <w:name w:val="Intestazione Carattere"/>
    <w:basedOn w:val="Carpredefinitoparagrafo"/>
    <w:link w:val="Intestazione"/>
    <w:uiPriority w:val="99"/>
    <w:rsid w:val="000B3B96"/>
    <w:rPr>
      <w:lang w:val="en-GB"/>
    </w:rPr>
  </w:style>
  <w:style w:type="paragraph" w:styleId="Pidipagina">
    <w:name w:val="footer"/>
    <w:basedOn w:val="Normale"/>
    <w:link w:val="PidipaginaCarattere"/>
    <w:uiPriority w:val="99"/>
    <w:unhideWhenUsed/>
    <w:rsid w:val="000B3B96"/>
    <w:pPr>
      <w:tabs>
        <w:tab w:val="center" w:pos="4819"/>
        <w:tab w:val="right" w:pos="9638"/>
      </w:tabs>
    </w:pPr>
  </w:style>
  <w:style w:type="character" w:customStyle="1" w:styleId="PidipaginaCarattere">
    <w:name w:val="Piè di pagina Carattere"/>
    <w:basedOn w:val="Carpredefinitoparagrafo"/>
    <w:link w:val="Pidipagina"/>
    <w:uiPriority w:val="99"/>
    <w:rsid w:val="000B3B96"/>
    <w:rPr>
      <w:lang w:val="en-GB"/>
    </w:rPr>
  </w:style>
  <w:style w:type="paragraph" w:styleId="Testofumetto">
    <w:name w:val="Balloon Text"/>
    <w:basedOn w:val="Normale"/>
    <w:link w:val="TestofumettoCarattere"/>
    <w:uiPriority w:val="99"/>
    <w:semiHidden/>
    <w:unhideWhenUsed/>
    <w:rsid w:val="000B3B96"/>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B3B96"/>
    <w:rPr>
      <w:rFonts w:ascii="Tahoma" w:hAnsi="Tahoma" w:cs="Tahoma"/>
      <w:sz w:val="16"/>
      <w:szCs w:val="16"/>
      <w:lang w:val="en-GB"/>
    </w:rPr>
  </w:style>
  <w:style w:type="paragraph" w:styleId="Paragrafoelenco">
    <w:name w:val="List Paragraph"/>
    <w:basedOn w:val="Normale"/>
    <w:uiPriority w:val="34"/>
    <w:qFormat/>
    <w:rsid w:val="000B3B96"/>
    <w:pPr>
      <w:ind w:left="720"/>
      <w:contextualSpacing/>
    </w:pPr>
  </w:style>
  <w:style w:type="character" w:styleId="Collegamentoipertestuale">
    <w:name w:val="Hyperlink"/>
    <w:basedOn w:val="Carpredefinitoparagrafo"/>
    <w:uiPriority w:val="99"/>
    <w:unhideWhenUsed/>
    <w:rsid w:val="002D479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t.wikipedia.org/wiki/Rifrazion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chimica-online.it/download/rifrazione.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isicaondemusica.unimore.it/Rifrazione.htm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3A3C1-6705-40CC-BF25-88A856DB2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2</Pages>
  <Words>743</Words>
  <Characters>4237</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4971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Alessandro</dc:creator>
  <cp:lastModifiedBy>Alessandro</cp:lastModifiedBy>
  <cp:revision>21</cp:revision>
  <dcterms:created xsi:type="dcterms:W3CDTF">2021-02-21T13:20:00Z</dcterms:created>
  <dcterms:modified xsi:type="dcterms:W3CDTF">2021-02-25T17:12:00Z</dcterms:modified>
</cp:coreProperties>
</file>