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9ED"/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40" w:lineRule="auto"/>
        <w:rPr>
          <w:rFonts w:ascii="Old Standard TT" w:cs="Old Standard TT" w:eastAsia="Old Standard TT" w:hAnsi="Old Standard T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000000"/>
        </w:rPr>
      </w:pPr>
      <w:bookmarkStart w:colFirst="0" w:colLast="0" w:name="_g6nr81xnwjj7" w:id="0"/>
      <w:bookmarkEnd w:id="0"/>
      <w:r w:rsidDel="00000000" w:rsidR="00000000" w:rsidRPr="00000000">
        <w:rPr>
          <w:rtl w:val="0"/>
        </w:rPr>
        <w:t xml:space="preserve">Esperimento di Eratostene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40" w:lineRule="auto"/>
        <w:rPr>
          <w:rFonts w:ascii="Old Standard TT" w:cs="Old Standard TT" w:eastAsia="Old Standard TT" w:hAnsi="Old Standard TT"/>
        </w:rPr>
      </w:pPr>
      <w:r w:rsidDel="00000000" w:rsidR="00000000" w:rsidRPr="00000000">
        <w:rPr>
          <w:rFonts w:ascii="Old Standard TT" w:cs="Old Standard TT" w:eastAsia="Old Standard TT" w:hAnsi="Old Standard TT"/>
          <w:b w:val="1"/>
          <w:sz w:val="22"/>
          <w:szCs w:val="22"/>
          <w:rtl w:val="0"/>
        </w:rPr>
        <w:t xml:space="preserve">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rPr/>
      </w:pPr>
      <w:bookmarkStart w:colFirst="0" w:colLast="0" w:name="_ezioxomjx0vv" w:id="1"/>
      <w:bookmarkEnd w:id="1"/>
      <w:r w:rsidDel="00000000" w:rsidR="00000000" w:rsidRPr="00000000">
        <w:rPr>
          <w:rtl w:val="0"/>
        </w:rPr>
        <w:t xml:space="preserve">Introduzione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2"/>
          <w:szCs w:val="22"/>
        </w:rPr>
      </w:pPr>
      <w:r w:rsidDel="00000000" w:rsidR="00000000" w:rsidRPr="00000000">
        <w:rPr>
          <w:rtl w:val="0"/>
        </w:rPr>
        <w:t xml:space="preserve">Nel III secolo a.C Eratostene di Cirene calcolò la circonferenza della terra utilizzando le conoscenze di geometria di cui disponeva.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Old Standard TT" w:cs="Old Standard TT" w:eastAsia="Old Standard TT" w:hAnsi="Old Standard TT"/>
          <w:sz w:val="28"/>
          <w:szCs w:val="28"/>
        </w:rPr>
      </w:pPr>
      <w:bookmarkStart w:colFirst="0" w:colLast="0" w:name="_owurcdmex9tk" w:id="2"/>
      <w:bookmarkEnd w:id="2"/>
      <w:r w:rsidDel="00000000" w:rsidR="00000000" w:rsidRPr="00000000">
        <w:rPr>
          <w:rtl w:val="0"/>
        </w:rPr>
        <w:t xml:space="preserve">Struttura del video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Il video è suddiviso in due parti. La prima tratta del procedimento che Eratostene seguì per calcolare la misura della Terra, prestando attenzione all’aspetto matematico e geometrico. Nella seconda parte viene presentato un modo di riproporre l’esperimento a casa, attraverso l’utilizzo di un mappamondo e oggetti facilmente reperibili. 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Il video presenta la maggior parte del contenuto sotto forma di diapositive e illustrazioni, con lo scopo di rendere maggiormente fruibile la spiegazione.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7ucxaf5zvszr" w:id="3"/>
      <w:bookmarkEnd w:id="3"/>
      <w:r w:rsidDel="00000000" w:rsidR="00000000" w:rsidRPr="00000000">
        <w:rPr>
          <w:rtl w:val="0"/>
        </w:rPr>
        <w:t xml:space="preserve">Contenuto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Dopo una breve contestualizzazione il video procede con la spiegazione delle premesse dell’esperimento di Eratostene. Vengono dunque mostrati i dati di cui disponeva il matematico: la distanza tra Alessandria e Syene e la posizione di Syene sul tropico del cancro e sulla meridiana di Alessandria. Viene inoltre illustrata l’osservazione iniziale di Eratostene e i procedimenti che seguì per determinare la circonferenza terrestre, con attenzione alla dimostrazione geometrica e matematica che il filosofo fece per dare solidità alla misurazione.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Successivamente si propone una modellizzazione dell’esperimento cosicché si possa, in prima persona, riproporre il metodo di Eratostene con l’utilizzo di materiali reperibili facilmente in casa: un mappamondo, stuzzicadenti, metro da sarta e una torcia. 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 prima istanza si pongono due stuzzicadenti sul mappamondo, facendo attenzione di disporli sullo stesso meridiano.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successivamente si pone la torcia in modo tale che uno dei due stuzzicadenti non proietti alcuna ombra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Si procede quindi a misurare l’ombra dell’altro stuzzicadente e con la funzione inversa della tangente si ricava l’angolo dell’ombra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before="0" w:beforeAutospacing="0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 conclusione si calcola la circonferenza del mappamondo impostando la proporzione tra l’angolo dell’ombra, tra la distanza tra i due stuzzicadenti,  tra l’angolo giro e tra la circonferenza (cioè l’incognita da calcolare)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rPr/>
      </w:pPr>
      <w:bookmarkStart w:colFirst="0" w:colLast="0" w:name="_jd87e0gl71wl" w:id="4"/>
      <w:bookmarkEnd w:id="4"/>
      <w:r w:rsidDel="00000000" w:rsidR="00000000" w:rsidRPr="00000000">
        <w:rPr>
          <w:rtl w:val="0"/>
        </w:rPr>
        <w:t xml:space="preserve">Sitografia</w:t>
      </w:r>
    </w:p>
    <w:p w:rsidR="00000000" w:rsidDel="00000000" w:rsidP="00000000" w:rsidRDefault="00000000" w:rsidRPr="00000000" w14:paraId="00000011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https://www.grag.org/eratostene-e-la-misura-della-circonferenza-terrestre/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https://eratostene.vialattea.net/wpe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https://eratostene.vialattea.net/wpe/misurare/altezza-del-sole/metodo-dello-gnomone/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http://artemate.altervista.org/storiamate/trigonometria.htm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https://it.wikipedia.org/wiki/Eratostene_di_Cirene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http://www.educational.rai.it/materiali/file_lezioni/61993_636233178166373599.pdf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headerReference r:id="rId12" w:type="first"/>
      <w:headerReference r:id="rId13" w:type="default"/>
      <w:footerReference r:id="rId14" w:type="first"/>
      <w:pgSz w:h="15840" w:w="12240" w:orient="portrait"/>
      <w:pgMar w:bottom="1152" w:top="1152" w:left="1440" w:right="1440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PT Serif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ld Standard T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B">
    <w:pPr>
      <w:pStyle w:val="Heading6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Rule="auto"/>
      <w:rPr/>
    </w:pPr>
    <w:bookmarkStart w:colFirst="0" w:colLast="0" w:name="_2mzs7k926ll" w:id="5"/>
    <w:bookmarkEnd w:id="5"/>
    <w:r w:rsidDel="00000000" w:rsidR="00000000" w:rsidRPr="00000000">
      <w:rPr>
        <w:rtl w:val="0"/>
      </w:rPr>
    </w:r>
  </w:p>
  <w:tbl>
    <w:tblPr>
      <w:tblStyle w:val="Table1"/>
      <w:tblW w:w="12225.0" w:type="dxa"/>
      <w:jc w:val="left"/>
      <w:tblInd w:w="-1340.0" w:type="dxa"/>
      <w:tblLayout w:type="fixed"/>
      <w:tblLook w:val="0600"/>
    </w:tblPr>
    <w:tblGrid>
      <w:gridCol w:w="8985"/>
      <w:gridCol w:w="3240"/>
      <w:tblGridChange w:id="0">
        <w:tblGrid>
          <w:gridCol w:w="8985"/>
          <w:gridCol w:w="3240"/>
        </w:tblGrid>
      </w:tblGridChange>
    </w:tblGrid>
    <w:tr>
      <w:trPr>
        <w:trHeight w:val="160" w:hRule="atLeast"/>
      </w:trPr>
      <w:tc>
        <w:tcPr>
          <w:gridSpan w:val="2"/>
          <w:tcBorders>
            <w:top w:color="000000" w:space="0" w:sz="8" w:val="single"/>
            <w:left w:color="000000" w:space="0" w:sz="8" w:val="single"/>
            <w:bottom w:color="00a797" w:space="0" w:sz="8" w:val="single"/>
            <w:right w:color="000000" w:space="0" w:sz="8" w:val="single"/>
          </w:tcBorders>
          <w:shd w:fill="000000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1C">
          <w:pPr>
            <w:pStyle w:val="Heading5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before="0" w:line="240" w:lineRule="auto"/>
            <w:ind w:left="-45" w:right="960" w:firstLine="0"/>
            <w:jc w:val="right"/>
            <w:rPr>
              <w:sz w:val="12"/>
              <w:szCs w:val="12"/>
            </w:rPr>
          </w:pPr>
          <w:bookmarkStart w:colFirst="0" w:colLast="0" w:name="_247svd1nybjm" w:id="6"/>
          <w:bookmarkEnd w:id="6"/>
          <w:r w:rsidDel="00000000" w:rsidR="00000000" w:rsidRPr="00000000">
            <w:rPr>
              <w:rtl w:val="0"/>
            </w:rPr>
          </w:r>
        </w:p>
      </w:tc>
    </w:tr>
    <w:tr>
      <w:trPr>
        <w:trHeight w:val="900" w:hRule="atLeast"/>
      </w:trPr>
      <w:tc>
        <w:tcPr>
          <w:tcBorders>
            <w:top w:color="00a797" w:space="0" w:sz="8" w:val="single"/>
            <w:left w:color="00a797" w:space="0" w:sz="8" w:val="single"/>
            <w:bottom w:color="00a797" w:space="0" w:sz="8" w:val="single"/>
            <w:right w:color="00a797" w:space="0" w:sz="8" w:val="single"/>
          </w:tcBorders>
          <w:shd w:fill="00a797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1E">
          <w:pPr>
            <w:pStyle w:val="Heading4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rPr>
              <w:rFonts w:ascii="Old Standard TT" w:cs="Old Standard TT" w:eastAsia="Old Standard TT" w:hAnsi="Old Standard TT"/>
              <w:color w:val="fff9ed"/>
              <w:sz w:val="24"/>
              <w:szCs w:val="24"/>
              <w:u w:val="none"/>
            </w:rPr>
          </w:pPr>
          <w:bookmarkStart w:colFirst="0" w:colLast="0" w:name="_247svd1nybjm" w:id="6"/>
          <w:bookmarkEnd w:id="6"/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a797" w:space="0" w:sz="8" w:val="single"/>
            <w:left w:color="00a797" w:space="0" w:sz="8" w:val="single"/>
            <w:bottom w:color="00a797" w:space="0" w:sz="8" w:val="single"/>
            <w:right w:color="00a797" w:space="0" w:sz="8" w:val="single"/>
          </w:tcBorders>
          <w:shd w:fill="00a797" w:val="clear"/>
          <w:tcMar>
            <w:top w:w="100.0" w:type="dxa"/>
            <w:left w:w="100.0" w:type="dxa"/>
            <w:bottom w:w="100.0" w:type="dxa"/>
            <w:right w:w="100.0" w:type="dxa"/>
          </w:tcMar>
          <w:vAlign w:val="center"/>
        </w:tcPr>
        <w:p w:rsidR="00000000" w:rsidDel="00000000" w:rsidP="00000000" w:rsidRDefault="00000000" w:rsidRPr="00000000" w14:paraId="0000001F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before="0" w:lineRule="auto"/>
            <w:jc w:val="center"/>
            <w:rPr/>
          </w:pPr>
          <w:r w:rsidDel="00000000" w:rsidR="00000000" w:rsidRPr="00000000">
            <w:rPr/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0">
    <w:pPr>
      <w:pStyle w:val="Heading6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bookmarkStart w:colFirst="0" w:colLast="0" w:name="_k2z3n45ztaex" w:id="8"/>
    <w:bookmarkEnd w:id="8"/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="240" w:lineRule="auto"/>
      <w:ind w:left="-15" w:right="-15" w:firstLine="0"/>
      <w:rPr>
        <w:sz w:val="12"/>
        <w:szCs w:val="12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PT Serif" w:cs="PT Serif" w:eastAsia="PT Serif" w:hAnsi="PT Serif"/>
        <w:sz w:val="22"/>
        <w:szCs w:val="22"/>
        <w:lang w:val="it"/>
      </w:rPr>
    </w:rPrDefault>
    <w:pPrDefault>
      <w:pPr>
        <w:spacing w:before="200" w:line="312" w:lineRule="auto"/>
        <w:ind w:left="-15" w:right="-15" w:firstLine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320" w:line="240" w:lineRule="auto"/>
    </w:pPr>
    <w:rPr>
      <w:rFonts w:ascii="Old Standard TT" w:cs="Old Standard TT" w:eastAsia="Old Standard TT" w:hAnsi="Old Standard TT"/>
      <w:b w:val="1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before="480" w:lineRule="auto"/>
    </w:pPr>
    <w:rPr>
      <w:rFonts w:ascii="Old Standard TT" w:cs="Old Standard TT" w:eastAsia="Old Standard TT" w:hAnsi="Old Standard TT"/>
      <w:b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widowControl w:val="0"/>
      <w:spacing w:line="240" w:lineRule="auto"/>
      <w:ind w:right="780"/>
    </w:pPr>
    <w:rPr>
      <w:rFonts w:ascii="Old Standard TT" w:cs="Old Standard TT" w:eastAsia="Old Standard TT" w:hAnsi="Old Standard TT"/>
      <w:b w:val="1"/>
      <w:color w:val="01857b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spacing w:line="240" w:lineRule="auto"/>
      <w:ind w:firstLine="0"/>
    </w:pPr>
    <w:rPr>
      <w:color w:val="01857b"/>
    </w:rPr>
  </w:style>
  <w:style w:type="paragraph" w:styleId="Heading5">
    <w:name w:val="heading 5"/>
    <w:basedOn w:val="Normal"/>
    <w:next w:val="Normal"/>
    <w:pPr>
      <w:keepNext w:val="1"/>
      <w:keepLines w:val="1"/>
      <w:widowControl w:val="0"/>
      <w:spacing w:before="0" w:line="240" w:lineRule="auto"/>
      <w:ind w:left="-45" w:right="960"/>
    </w:pPr>
    <w:rPr>
      <w:rFonts w:ascii="Old Standard TT" w:cs="Old Standard TT" w:eastAsia="Old Standard TT" w:hAnsi="Old Standard TT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line="240" w:lineRule="auto"/>
      <w:ind w:left="-15" w:right="-15" w:firstLine="0"/>
    </w:pPr>
    <w:rPr>
      <w:rFonts w:ascii="Old Standard TT" w:cs="Old Standard TT" w:eastAsia="Old Standard TT" w:hAnsi="Old Standard TT"/>
      <w:color w:val="666666"/>
      <w:sz w:val="12"/>
      <w:szCs w:val="12"/>
    </w:rPr>
  </w:style>
  <w:style w:type="paragraph" w:styleId="Title">
    <w:name w:val="Title"/>
    <w:basedOn w:val="Normal"/>
    <w:next w:val="Normal"/>
    <w:pPr>
      <w:spacing w:before="320" w:line="240" w:lineRule="auto"/>
    </w:pPr>
    <w:rPr>
      <w:rFonts w:ascii="Old Standard TT" w:cs="Old Standard TT" w:eastAsia="Old Standard TT" w:hAnsi="Old Standard TT"/>
      <w:b w:val="1"/>
      <w:color w:val="00a797"/>
      <w:sz w:val="72"/>
      <w:szCs w:val="72"/>
    </w:rPr>
  </w:style>
  <w:style w:type="paragraph" w:styleId="Subtitle">
    <w:name w:val="Subtitle"/>
    <w:basedOn w:val="Normal"/>
    <w:next w:val="Normal"/>
    <w:pPr>
      <w:spacing w:before="320" w:lineRule="auto"/>
    </w:pPr>
    <w:rPr>
      <w:rFonts w:ascii="Old Standard TT" w:cs="Old Standard TT" w:eastAsia="Old Standard TT" w:hAnsi="Old Standard TT"/>
      <w:b w:val="1"/>
      <w:sz w:val="26"/>
      <w:szCs w:val="26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://www.educational.rai.it/materiali/file_lezioni/61993_636233178166373599.pdf" TargetMode="External"/><Relationship Id="rId10" Type="http://schemas.openxmlformats.org/officeDocument/2006/relationships/hyperlink" Target="https://it.wikipedia.org/wiki/Eratostene_di_Cirene" TargetMode="External"/><Relationship Id="rId13" Type="http://schemas.openxmlformats.org/officeDocument/2006/relationships/header" Target="header1.xml"/><Relationship Id="rId12" Type="http://schemas.openxmlformats.org/officeDocument/2006/relationships/header" Target="head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artemate.altervista.org/storiamate/trigonometria.htm" TargetMode="External"/><Relationship Id="rId14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yperlink" Target="https://www.grag.org/eratostene-e-la-misura-della-circonferenza-terrestre/" TargetMode="External"/><Relationship Id="rId7" Type="http://schemas.openxmlformats.org/officeDocument/2006/relationships/hyperlink" Target="https://eratostene.vialattea.net/wpe" TargetMode="External"/><Relationship Id="rId8" Type="http://schemas.openxmlformats.org/officeDocument/2006/relationships/hyperlink" Target="https://eratostene.vialattea.net/wpe/misurare/altezza-del-sole/metodo-dello-gnomone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erif-regular.ttf"/><Relationship Id="rId2" Type="http://schemas.openxmlformats.org/officeDocument/2006/relationships/font" Target="fonts/PTSerif-bold.ttf"/><Relationship Id="rId3" Type="http://schemas.openxmlformats.org/officeDocument/2006/relationships/font" Target="fonts/PTSerif-italic.ttf"/><Relationship Id="rId4" Type="http://schemas.openxmlformats.org/officeDocument/2006/relationships/font" Target="fonts/PTSerif-boldItalic.ttf"/><Relationship Id="rId5" Type="http://schemas.openxmlformats.org/officeDocument/2006/relationships/font" Target="fonts/OldStandardTT-regular.ttf"/><Relationship Id="rId6" Type="http://schemas.openxmlformats.org/officeDocument/2006/relationships/font" Target="fonts/OldStandardTT-bold.ttf"/><Relationship Id="rId7" Type="http://schemas.openxmlformats.org/officeDocument/2006/relationships/font" Target="fonts/OldStandardTT-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